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1A3" w:rsidRPr="008F35F6" w:rsidRDefault="00CF5499" w:rsidP="008914EE">
      <w:pPr>
        <w:pStyle w:val="Autor"/>
        <w:spacing w:before="3000" w:after="720"/>
        <w:ind w:firstLine="720"/>
        <w:rPr>
          <w:rFonts w:ascii="Tahoma" w:hAnsi="Tahoma" w:cs="Tahoma"/>
          <w:color w:val="auto"/>
        </w:rPr>
      </w:pPr>
      <w:r>
        <w:rPr>
          <w:noProof/>
          <w:lang w:val="bs-Latn-BA" w:eastAsia="bs-Latn-BA"/>
        </w:rPr>
        <mc:AlternateContent>
          <mc:Choice Requires="wps">
            <w:drawing>
              <wp:anchor distT="36576" distB="36576" distL="36576" distR="36576" simplePos="0" relativeHeight="251657728" behindDoc="0" locked="0" layoutInCell="1" allowOverlap="1">
                <wp:simplePos x="0" y="0"/>
                <wp:positionH relativeFrom="page">
                  <wp:posOffset>1981200</wp:posOffset>
                </wp:positionH>
                <wp:positionV relativeFrom="page">
                  <wp:posOffset>981075</wp:posOffset>
                </wp:positionV>
                <wp:extent cx="5255895" cy="1743075"/>
                <wp:effectExtent l="0" t="0" r="0" b="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55895" cy="1743075"/>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195DE1" w:rsidRPr="00195DE1" w:rsidRDefault="00195DE1" w:rsidP="00195DE1">
                            <w:pPr>
                              <w:spacing w:after="0"/>
                              <w:jc w:val="center"/>
                              <w:rPr>
                                <w:rFonts w:ascii="Tahoma" w:hAnsi="Tahoma" w:cs="Tahoma"/>
                                <w:b/>
                                <w:sz w:val="28"/>
                                <w:szCs w:val="28"/>
                                <w:lang w:val="sr-Latn-BA"/>
                              </w:rPr>
                            </w:pPr>
                            <w:r w:rsidRPr="00195DE1">
                              <w:rPr>
                                <w:rFonts w:ascii="Tahoma" w:hAnsi="Tahoma" w:cs="Tahoma"/>
                                <w:b/>
                                <w:sz w:val="28"/>
                                <w:szCs w:val="28"/>
                                <w:lang w:val="sr-Latn-BA"/>
                              </w:rPr>
                              <w:t>MIŠLJENJE VJEŠTAKA  U SAOBRAĆAJNIM NEZGODAMA TIPA VOZILO-PJEŠAK</w:t>
                            </w:r>
                          </w:p>
                          <w:p w:rsidR="00AF5365" w:rsidRPr="00195DE1" w:rsidRDefault="00195DE1" w:rsidP="00195DE1">
                            <w:pPr>
                              <w:pStyle w:val="Naslov"/>
                              <w:rPr>
                                <w:rFonts w:ascii="Tahoma" w:hAnsi="Tahoma" w:cs="Tahoma"/>
                              </w:rPr>
                            </w:pPr>
                            <w:r w:rsidRPr="00195DE1">
                              <w:rPr>
                                <w:rFonts w:ascii="Tahoma" w:hAnsi="Tahoma" w:cs="Tahoma"/>
                                <w:lang w:val="en-GB"/>
                              </w:rPr>
                              <w:t xml:space="preserve">EXPERT OPINION FOR TRAFFIC ACCIDENTS VEHICLE </w:t>
                            </w:r>
                            <w:proofErr w:type="gramStart"/>
                            <w:r w:rsidRPr="00195DE1">
                              <w:rPr>
                                <w:rFonts w:ascii="Tahoma" w:hAnsi="Tahoma" w:cs="Tahoma"/>
                                <w:lang w:val="en-GB"/>
                              </w:rPr>
                              <w:t>-  PEDESTRIAN</w:t>
                            </w:r>
                            <w:proofErr w:type="gramEnd"/>
                            <w:r w:rsidRPr="00195DE1">
                              <w:rPr>
                                <w:rFonts w:ascii="Tahoma" w:hAnsi="Tahoma" w:cs="Tahoma"/>
                                <w:lang w:val="en-GB"/>
                              </w:rPr>
                              <w:t xml:space="preserve"> TYPE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56pt;margin-top:77.25pt;width:413.85pt;height:137.25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" stroked="f" strokeweight="0" insetpen="t">
                <v:shadow color="#ccc"/>
                <o:lock v:ext="edit" shapetype="t"/>
                <v:textbox inset="2.88pt,2.88pt,2.88pt,2.88pt">
                  <w:txbxContent>
                    <w:p w:rsidR="00195DE1" w:rsidRPr="00195DE1" w:rsidRDefault="00195DE1" w:rsidP="00195DE1">
                      <w:pPr>
                        <w:spacing w:after="0"/>
                        <w:jc w:val="center"/>
                        <w:rPr>
                          <w:rFonts w:ascii="Tahoma" w:hAnsi="Tahoma" w:cs="Tahoma"/>
                          <w:b/>
                          <w:sz w:val="28"/>
                          <w:szCs w:val="28"/>
                          <w:lang w:val="sr-Latn-BA"/>
                        </w:rPr>
                      </w:pPr>
                      <w:r w:rsidRPr="00195DE1">
                        <w:rPr>
                          <w:rFonts w:ascii="Tahoma" w:hAnsi="Tahoma" w:cs="Tahoma"/>
                          <w:b/>
                          <w:sz w:val="28"/>
                          <w:szCs w:val="28"/>
                          <w:lang w:val="sr-Latn-BA"/>
                        </w:rPr>
                        <w:t>MIŠLJENJE VJEŠTAKA  U SAOBRAĆAJNIM NEZGODAMA TIPA VOZILO-PJEŠAK</w:t>
                      </w:r>
                    </w:p>
                    <w:p w:rsidR="00AF5365" w:rsidRPr="00195DE1" w:rsidRDefault="00195DE1" w:rsidP="00195DE1">
                      <w:pPr>
                        <w:pStyle w:val="Naslov"/>
                        <w:rPr>
                          <w:rFonts w:ascii="Tahoma" w:hAnsi="Tahoma" w:cs="Tahoma"/>
                        </w:rPr>
                      </w:pPr>
                      <w:r w:rsidRPr="00195DE1">
                        <w:rPr>
                          <w:rFonts w:ascii="Tahoma" w:hAnsi="Tahoma" w:cs="Tahoma"/>
                          <w:lang w:val="en-GB"/>
                        </w:rPr>
                        <w:t xml:space="preserve">EXPERT OPINION FOR TRAFFIC ACCIDENTS VEHICLE </w:t>
                      </w:r>
                      <w:proofErr w:type="gramStart"/>
                      <w:r w:rsidRPr="00195DE1">
                        <w:rPr>
                          <w:rFonts w:ascii="Tahoma" w:hAnsi="Tahoma" w:cs="Tahoma"/>
                          <w:lang w:val="en-GB"/>
                        </w:rPr>
                        <w:t>-  PEDESTRIAN</w:t>
                      </w:r>
                      <w:proofErr w:type="gramEnd"/>
                      <w:r w:rsidRPr="00195DE1">
                        <w:rPr>
                          <w:rFonts w:ascii="Tahoma" w:hAnsi="Tahoma" w:cs="Tahoma"/>
                          <w:lang w:val="en-GB"/>
                        </w:rPr>
                        <w:t xml:space="preserve"> TYPE</w:t>
                      </w:r>
                    </w:p>
                  </w:txbxContent>
                </v:textbox>
                <w10:wrap anchorx="page" anchory="page"/>
              </v:roundrect>
            </w:pict>
          </mc:Fallback>
        </mc:AlternateContent>
      </w:r>
      <w:r w:rsidR="00195DE1" w:rsidRPr="008F35F6">
        <w:rPr>
          <w:rFonts w:ascii="Tahoma" w:hAnsi="Tahoma" w:cs="Tahoma"/>
          <w:color w:val="auto"/>
          <w:lang w:val="sr-Latn-BA"/>
        </w:rPr>
        <w:t>Drašković D.</w:t>
      </w:r>
      <w:r w:rsidR="00195DE1" w:rsidRPr="008F35F6">
        <w:rPr>
          <w:rStyle w:val="FootnoteReference"/>
          <w:rFonts w:ascii="Tahoma" w:hAnsi="Tahoma" w:cs="Tahoma"/>
          <w:color w:val="auto"/>
          <w:sz w:val="20"/>
          <w:szCs w:val="20"/>
          <w:lang w:val="sr-Latn-BA"/>
        </w:rPr>
        <w:footnoteReference w:id="1"/>
      </w:r>
      <w:r w:rsidR="00195DE1" w:rsidRPr="008F35F6">
        <w:rPr>
          <w:rFonts w:ascii="Tahoma" w:hAnsi="Tahoma" w:cs="Tahoma"/>
          <w:color w:val="auto"/>
          <w:lang w:val="sr-Latn-BA"/>
        </w:rPr>
        <w:t>;  Vujanić M.</w:t>
      </w:r>
      <w:r w:rsidR="00195DE1" w:rsidRPr="008F35F6">
        <w:rPr>
          <w:rStyle w:val="FootnoteReference"/>
          <w:rFonts w:ascii="Tahoma" w:hAnsi="Tahoma" w:cs="Tahoma"/>
          <w:color w:val="auto"/>
          <w:sz w:val="20"/>
          <w:szCs w:val="20"/>
          <w:lang w:val="sr-Latn-BA"/>
        </w:rPr>
        <w:footnoteReference w:id="2"/>
      </w:r>
      <w:r w:rsidR="00195DE1" w:rsidRPr="008F35F6">
        <w:rPr>
          <w:rFonts w:ascii="Tahoma" w:hAnsi="Tahoma" w:cs="Tahoma"/>
          <w:color w:val="auto"/>
          <w:lang w:val="sr-Latn-BA"/>
        </w:rPr>
        <w:t>; Stanišić D.</w:t>
      </w:r>
      <w:r w:rsidR="00195DE1" w:rsidRPr="008F35F6">
        <w:rPr>
          <w:rStyle w:val="FootnoteReference"/>
          <w:rFonts w:ascii="Tahoma" w:hAnsi="Tahoma" w:cs="Tahoma"/>
          <w:color w:val="auto"/>
          <w:sz w:val="20"/>
          <w:szCs w:val="20"/>
          <w:lang w:val="sr-Latn-BA"/>
        </w:rPr>
        <w:footnoteReference w:id="3"/>
      </w:r>
    </w:p>
    <w:p w:rsidR="00195DE1" w:rsidRPr="008F35F6" w:rsidRDefault="00195DE1" w:rsidP="00195DE1">
      <w:pPr>
        <w:spacing w:after="0"/>
        <w:ind w:left="3119"/>
        <w:rPr>
          <w:rFonts w:ascii="Tahoma" w:hAnsi="Tahoma" w:cs="Tahoma"/>
          <w:i/>
          <w:sz w:val="18"/>
          <w:szCs w:val="18"/>
          <w:lang w:val="sr-Latn-BA"/>
        </w:rPr>
      </w:pPr>
      <w:r w:rsidRPr="008F35F6">
        <w:rPr>
          <w:rFonts w:ascii="Tahoma" w:hAnsi="Tahoma" w:cs="Tahoma"/>
          <w:b/>
          <w:i/>
          <w:sz w:val="18"/>
          <w:szCs w:val="18"/>
          <w:lang w:val="sr-Latn-BA"/>
        </w:rPr>
        <w:t>Rezime:</w:t>
      </w:r>
      <w:r w:rsidRPr="008F35F6">
        <w:rPr>
          <w:rFonts w:ascii="Tahoma" w:hAnsi="Tahoma" w:cs="Tahoma"/>
          <w:i/>
          <w:sz w:val="18"/>
          <w:szCs w:val="18"/>
          <w:lang w:val="sr-Latn-BA"/>
        </w:rPr>
        <w:t xml:space="preserve"> Saobraćajne nezgode tipa vozilo-pješak u osnovi za posljedicu imaju stradanje pješaka i odgovornost vozača vozila. Postavlja se pitanje, da li je čovjek koji učestvuje u saobraćaju ravnopravan pred zakonom, neovisno da li učestvuje kao vozač ili kao ranjivi učesnik u saobraćaju. Sa aspekta posljedica, vozač motornog vozila je taj koji najčešće ne trpi posljedice po život i tijelo, za razliku od pješaka koji je izložen povredama različitog intenziteta. Razumljivo, vozač je u datim okolnostima predmet interesa organa gonjenja. Najčešće je kao takav procesovan, a da se pri tome dovoljno ne tretira odnos narušenog uzajamnog povjerenja u smislu nepropisnog postupanja učesnika saobraćajne nezgode. Različita je sudska praksa. Različita su razmišljanja i saobraćajne i pravne struke. Socijalne posljedice se dovoljno ne istražuju. Postoji potreba da se u ovom slučaju jasno definišu stavovi struke, kako bi tužilaštva i sudovi imali jasnu predstavu kada je u pitanju formiranje mišljenja o uzroku saobraćajnih nezgoda tipa vozilo-pješak.</w:t>
      </w:r>
    </w:p>
    <w:p w:rsidR="00195DE1" w:rsidRPr="008F35F6" w:rsidRDefault="00195DE1" w:rsidP="00195DE1">
      <w:pPr>
        <w:spacing w:after="0"/>
        <w:ind w:left="3119"/>
        <w:rPr>
          <w:rFonts w:ascii="Tahoma" w:hAnsi="Tahoma" w:cs="Tahoma"/>
          <w:i/>
          <w:sz w:val="18"/>
          <w:szCs w:val="18"/>
          <w:lang w:val="sr-Latn-BA"/>
        </w:rPr>
      </w:pPr>
    </w:p>
    <w:p w:rsidR="00195DE1" w:rsidRPr="008F35F6" w:rsidRDefault="00195DE1" w:rsidP="00195DE1">
      <w:pPr>
        <w:spacing w:after="0"/>
        <w:ind w:left="3119"/>
        <w:rPr>
          <w:rFonts w:ascii="Tahoma" w:hAnsi="Tahoma" w:cs="Tahoma"/>
          <w:i/>
          <w:sz w:val="18"/>
          <w:szCs w:val="18"/>
          <w:lang w:val="sr-Latn-BA"/>
        </w:rPr>
      </w:pPr>
      <w:r w:rsidRPr="008F35F6">
        <w:rPr>
          <w:rFonts w:ascii="Tahoma" w:hAnsi="Tahoma" w:cs="Tahoma"/>
          <w:b/>
          <w:sz w:val="18"/>
          <w:szCs w:val="18"/>
          <w:lang w:val="sr-Latn-BA"/>
        </w:rPr>
        <w:t>Ključne riječi:</w:t>
      </w:r>
      <w:r w:rsidRPr="008F35F6">
        <w:rPr>
          <w:rFonts w:ascii="Tahoma" w:hAnsi="Tahoma" w:cs="Tahoma"/>
          <w:sz w:val="18"/>
          <w:szCs w:val="18"/>
          <w:lang w:val="sr-Latn-BA"/>
        </w:rPr>
        <w:t xml:space="preserve"> </w:t>
      </w:r>
      <w:r w:rsidRPr="008F35F6">
        <w:rPr>
          <w:rFonts w:ascii="Tahoma" w:hAnsi="Tahoma" w:cs="Tahoma"/>
          <w:i/>
          <w:sz w:val="18"/>
          <w:szCs w:val="18"/>
          <w:lang w:val="sr-Latn-BA"/>
        </w:rPr>
        <w:t>Sudar vozilo-pješak, Opasna situacija, Uzrok saobraćajne nezgode.</w:t>
      </w:r>
    </w:p>
    <w:p w:rsidR="00195DE1" w:rsidRPr="008F35F6" w:rsidRDefault="00195DE1" w:rsidP="00195DE1">
      <w:pPr>
        <w:spacing w:after="0"/>
        <w:ind w:left="3119"/>
        <w:rPr>
          <w:rFonts w:ascii="Tahoma" w:hAnsi="Tahoma" w:cs="Tahoma"/>
          <w:i/>
          <w:sz w:val="18"/>
          <w:szCs w:val="18"/>
          <w:lang w:val="sr-Latn-BA"/>
        </w:rPr>
      </w:pPr>
    </w:p>
    <w:p w:rsidR="00195DE1" w:rsidRPr="008F35F6" w:rsidRDefault="00195DE1" w:rsidP="00195DE1">
      <w:pPr>
        <w:spacing w:after="0"/>
        <w:ind w:left="3119"/>
        <w:rPr>
          <w:rFonts w:ascii="Tahoma" w:hAnsi="Tahoma" w:cs="Tahoma"/>
          <w:i/>
          <w:sz w:val="18"/>
          <w:szCs w:val="18"/>
          <w:lang w:val="en-GB"/>
        </w:rPr>
      </w:pPr>
      <w:r w:rsidRPr="008F35F6">
        <w:rPr>
          <w:rFonts w:ascii="Tahoma" w:hAnsi="Tahoma" w:cs="Tahoma"/>
          <w:b/>
          <w:i/>
          <w:sz w:val="18"/>
          <w:szCs w:val="18"/>
          <w:lang w:val="en-GB"/>
        </w:rPr>
        <w:t>Summary:</w:t>
      </w:r>
      <w:r w:rsidRPr="008F35F6">
        <w:rPr>
          <w:rFonts w:ascii="Tahoma" w:hAnsi="Tahoma" w:cs="Tahoma"/>
          <w:b/>
          <w:i/>
          <w:sz w:val="18"/>
          <w:szCs w:val="18"/>
          <w:lang w:val="sr-Latn-BA"/>
        </w:rPr>
        <w:t xml:space="preserve"> </w:t>
      </w:r>
      <w:r w:rsidRPr="008F35F6">
        <w:rPr>
          <w:rFonts w:ascii="Tahoma" w:hAnsi="Tahoma" w:cs="Tahoma"/>
          <w:i/>
          <w:sz w:val="18"/>
          <w:szCs w:val="18"/>
          <w:lang w:val="en-GB"/>
        </w:rPr>
        <w:t>Consequences of traffic accidents involving a vehicle and a pedestrian are the injury of the pedestrian and the responsibility of the driver.</w:t>
      </w:r>
      <w:r w:rsidRPr="008F35F6">
        <w:rPr>
          <w:rFonts w:ascii="Tahoma" w:hAnsi="Tahoma" w:cs="Tahoma"/>
          <w:i/>
          <w:sz w:val="18"/>
          <w:szCs w:val="18"/>
          <w:lang w:val="sr-Latn-BA"/>
        </w:rPr>
        <w:t xml:space="preserve"> </w:t>
      </w:r>
      <w:r w:rsidRPr="008F35F6">
        <w:rPr>
          <w:rFonts w:ascii="Tahoma" w:hAnsi="Tahoma" w:cs="Tahoma"/>
          <w:i/>
          <w:sz w:val="18"/>
          <w:szCs w:val="18"/>
          <w:lang w:val="en-GB"/>
        </w:rPr>
        <w:t>The question is: Is a person participating in traffic equal before the law, regardless if he participates as a driver or a vulnerable participant?</w:t>
      </w:r>
      <w:r w:rsidRPr="008F35F6">
        <w:rPr>
          <w:rFonts w:ascii="Tahoma" w:hAnsi="Tahoma" w:cs="Tahoma"/>
          <w:i/>
          <w:sz w:val="18"/>
          <w:szCs w:val="18"/>
          <w:lang w:val="sr-Latn-BA"/>
        </w:rPr>
        <w:t xml:space="preserve"> </w:t>
      </w:r>
      <w:r w:rsidRPr="008F35F6">
        <w:rPr>
          <w:rFonts w:ascii="Tahoma" w:hAnsi="Tahoma" w:cs="Tahoma"/>
          <w:i/>
          <w:sz w:val="18"/>
          <w:szCs w:val="18"/>
          <w:lang w:val="en-GB"/>
        </w:rPr>
        <w:t>From the aspect of consequences, the driver of a motor vehicle does not suffer consequences on his life and body, unlike the pedestrian who is exposed to injuries of variable intensity.</w:t>
      </w:r>
      <w:r w:rsidRPr="008F35F6">
        <w:rPr>
          <w:rFonts w:ascii="Tahoma" w:hAnsi="Tahoma" w:cs="Tahoma"/>
          <w:i/>
          <w:sz w:val="18"/>
          <w:szCs w:val="18"/>
          <w:lang w:val="sr-Latn-BA"/>
        </w:rPr>
        <w:t xml:space="preserve"> </w:t>
      </w:r>
      <w:r w:rsidRPr="008F35F6">
        <w:rPr>
          <w:rFonts w:ascii="Tahoma" w:hAnsi="Tahoma" w:cs="Tahoma"/>
          <w:i/>
          <w:sz w:val="18"/>
          <w:szCs w:val="18"/>
          <w:lang w:val="en-GB"/>
        </w:rPr>
        <w:t>Understandably, in such circumstances the driver is a subject of interest for prosecution authorities.</w:t>
      </w:r>
      <w:r w:rsidRPr="008F35F6">
        <w:rPr>
          <w:rFonts w:ascii="Tahoma" w:hAnsi="Tahoma" w:cs="Tahoma"/>
          <w:i/>
          <w:sz w:val="18"/>
          <w:szCs w:val="18"/>
          <w:lang w:val="sr-Latn-BA"/>
        </w:rPr>
        <w:t xml:space="preserve"> </w:t>
      </w:r>
      <w:r w:rsidRPr="008F35F6">
        <w:rPr>
          <w:rFonts w:ascii="Tahoma" w:hAnsi="Tahoma" w:cs="Tahoma"/>
          <w:i/>
          <w:sz w:val="18"/>
          <w:szCs w:val="18"/>
          <w:lang w:val="en-GB"/>
        </w:rPr>
        <w:t>Most of the times the driver is prosecuted without sufficiently dealing with the damaged mutual trust, in terms of illegal actions of the participants in the traffic accident.</w:t>
      </w:r>
      <w:r w:rsidRPr="008F35F6">
        <w:rPr>
          <w:rFonts w:ascii="Tahoma" w:hAnsi="Tahoma" w:cs="Tahoma"/>
          <w:i/>
          <w:sz w:val="18"/>
          <w:szCs w:val="18"/>
          <w:lang w:val="sr-Latn-BA"/>
        </w:rPr>
        <w:t xml:space="preserve"> </w:t>
      </w:r>
      <w:r w:rsidRPr="008F35F6">
        <w:rPr>
          <w:rFonts w:ascii="Tahoma" w:hAnsi="Tahoma" w:cs="Tahoma"/>
          <w:i/>
          <w:sz w:val="18"/>
          <w:szCs w:val="18"/>
          <w:lang w:val="en-GB"/>
        </w:rPr>
        <w:t>The common court practice is different.</w:t>
      </w:r>
      <w:r w:rsidRPr="008F35F6">
        <w:rPr>
          <w:rFonts w:ascii="Tahoma" w:hAnsi="Tahoma" w:cs="Tahoma"/>
          <w:i/>
          <w:sz w:val="18"/>
          <w:szCs w:val="18"/>
          <w:lang w:val="sr-Latn-BA"/>
        </w:rPr>
        <w:t xml:space="preserve"> </w:t>
      </w:r>
      <w:r w:rsidRPr="008F35F6">
        <w:rPr>
          <w:rFonts w:ascii="Tahoma" w:hAnsi="Tahoma" w:cs="Tahoma"/>
          <w:i/>
          <w:sz w:val="18"/>
          <w:szCs w:val="18"/>
          <w:lang w:val="en-GB"/>
        </w:rPr>
        <w:t>Opinions of traffic and legal experts are different.</w:t>
      </w:r>
      <w:r w:rsidRPr="008F35F6">
        <w:rPr>
          <w:rFonts w:ascii="Tahoma" w:hAnsi="Tahoma" w:cs="Tahoma"/>
          <w:i/>
          <w:sz w:val="18"/>
          <w:szCs w:val="18"/>
          <w:lang w:val="sr-Latn-BA"/>
        </w:rPr>
        <w:t xml:space="preserve"> </w:t>
      </w:r>
      <w:r w:rsidRPr="008F35F6">
        <w:rPr>
          <w:rFonts w:ascii="Tahoma" w:hAnsi="Tahoma" w:cs="Tahoma"/>
          <w:i/>
          <w:sz w:val="18"/>
          <w:szCs w:val="18"/>
          <w:lang w:val="en-GB"/>
        </w:rPr>
        <w:t>Social consequences are not explored.</w:t>
      </w:r>
      <w:r w:rsidRPr="008F35F6">
        <w:rPr>
          <w:rFonts w:ascii="Tahoma" w:hAnsi="Tahoma" w:cs="Tahoma"/>
          <w:i/>
          <w:sz w:val="18"/>
          <w:szCs w:val="18"/>
          <w:lang w:val="sr-Latn-BA"/>
        </w:rPr>
        <w:t xml:space="preserve"> </w:t>
      </w:r>
      <w:r w:rsidRPr="008F35F6">
        <w:rPr>
          <w:rFonts w:ascii="Tahoma" w:hAnsi="Tahoma" w:cs="Tahoma"/>
          <w:i/>
          <w:sz w:val="18"/>
          <w:szCs w:val="18"/>
          <w:lang w:val="en-GB"/>
        </w:rPr>
        <w:t>There is a need to clearly define the stands of the profession in this case, so that prosecutor's offices and courts could have a clear vision in terms of forming opinions on the cause of traffic accidents involving a vehicle and a pedestrian.</w:t>
      </w:r>
    </w:p>
    <w:p w:rsidR="00195DE1" w:rsidRPr="008F35F6" w:rsidRDefault="00195DE1" w:rsidP="00195DE1">
      <w:pPr>
        <w:spacing w:after="0"/>
        <w:ind w:left="3119"/>
        <w:rPr>
          <w:rFonts w:ascii="Tahoma" w:hAnsi="Tahoma" w:cs="Tahoma"/>
          <w:b/>
          <w:i/>
          <w:sz w:val="18"/>
          <w:szCs w:val="18"/>
          <w:lang w:val="sr-Latn-BA"/>
        </w:rPr>
      </w:pPr>
    </w:p>
    <w:p w:rsidR="00AD2E61" w:rsidRPr="008F35F6" w:rsidRDefault="00195DE1" w:rsidP="00195DE1">
      <w:pPr>
        <w:spacing w:after="0"/>
        <w:ind w:left="3119"/>
        <w:rPr>
          <w:rFonts w:ascii="Tahoma" w:hAnsi="Tahoma" w:cs="Tahoma"/>
          <w:i/>
          <w:sz w:val="18"/>
          <w:szCs w:val="18"/>
          <w:lang w:val="en-GB"/>
        </w:rPr>
      </w:pPr>
      <w:r w:rsidRPr="008F35F6">
        <w:rPr>
          <w:rFonts w:ascii="Tahoma" w:hAnsi="Tahoma" w:cs="Tahoma"/>
          <w:b/>
          <w:sz w:val="18"/>
          <w:szCs w:val="18"/>
          <w:lang w:val="en-GB"/>
        </w:rPr>
        <w:t>Key words:</w:t>
      </w:r>
      <w:r w:rsidRPr="008F35F6">
        <w:rPr>
          <w:rFonts w:ascii="Tahoma" w:hAnsi="Tahoma" w:cs="Tahoma"/>
          <w:b/>
          <w:i/>
          <w:sz w:val="18"/>
          <w:szCs w:val="18"/>
          <w:lang w:val="sr-Latn-BA"/>
        </w:rPr>
        <w:t xml:space="preserve"> </w:t>
      </w:r>
      <w:r w:rsidRPr="008F35F6">
        <w:rPr>
          <w:rFonts w:ascii="Tahoma" w:hAnsi="Tahoma" w:cs="Tahoma"/>
          <w:i/>
          <w:sz w:val="18"/>
          <w:szCs w:val="18"/>
          <w:lang w:val="en-GB"/>
        </w:rPr>
        <w:t>Collision of a vehicle and a pedestrian, Dangerous situation, Cause of a traffic accident.</w:t>
      </w:r>
    </w:p>
    <w:p w:rsidR="00195DE1" w:rsidRPr="008F35F6" w:rsidRDefault="00195DE1" w:rsidP="00195DE1">
      <w:pPr>
        <w:spacing w:after="0"/>
        <w:ind w:left="3119"/>
        <w:rPr>
          <w:rFonts w:ascii="Tahoma" w:hAnsi="Tahoma" w:cs="Tahoma"/>
          <w:sz w:val="18"/>
          <w:szCs w:val="18"/>
          <w:lang w:val="en-GB"/>
        </w:rPr>
      </w:pPr>
    </w:p>
    <w:p w:rsidR="00195DE1" w:rsidRPr="008F35F6" w:rsidRDefault="00195DE1" w:rsidP="00195DE1">
      <w:pPr>
        <w:spacing w:after="0" w:line="216" w:lineRule="auto"/>
        <w:ind w:left="3119"/>
        <w:rPr>
          <w:rFonts w:ascii="Tahoma" w:hAnsi="Tahoma" w:cs="Tahoma"/>
          <w:sz w:val="18"/>
          <w:szCs w:val="18"/>
          <w:lang w:val="en-GB"/>
        </w:rPr>
      </w:pPr>
    </w:p>
    <w:p w:rsidR="00195DE1" w:rsidRPr="008F35F6" w:rsidRDefault="00195DE1" w:rsidP="00195DE1">
      <w:pPr>
        <w:spacing w:after="0" w:line="216" w:lineRule="auto"/>
        <w:ind w:left="3119"/>
        <w:rPr>
          <w:rFonts w:ascii="Tahoma" w:hAnsi="Tahoma" w:cs="Tahoma"/>
          <w:sz w:val="18"/>
          <w:szCs w:val="18"/>
          <w:lang w:val="en-GB"/>
        </w:rPr>
      </w:pPr>
    </w:p>
    <w:p w:rsidR="00195DE1" w:rsidRPr="00455A7D" w:rsidRDefault="00195DE1" w:rsidP="00455A7D">
      <w:pPr>
        <w:pStyle w:val="ListParagraph"/>
        <w:numPr>
          <w:ilvl w:val="0"/>
          <w:numId w:val="20"/>
        </w:numPr>
        <w:tabs>
          <w:tab w:val="left" w:pos="360"/>
        </w:tabs>
        <w:spacing w:before="240" w:after="120" w:line="216" w:lineRule="auto"/>
        <w:ind w:left="0" w:firstLine="0"/>
        <w:jc w:val="both"/>
        <w:rPr>
          <w:rFonts w:ascii="Tahoma" w:hAnsi="Tahoma" w:cs="Tahoma"/>
          <w:b/>
          <w:sz w:val="24"/>
          <w:szCs w:val="24"/>
          <w:lang w:val="sr-Latn-BA"/>
        </w:rPr>
      </w:pPr>
      <w:r w:rsidRPr="00455A7D">
        <w:rPr>
          <w:rFonts w:ascii="Tahoma" w:hAnsi="Tahoma" w:cs="Tahoma"/>
          <w:b/>
          <w:sz w:val="24"/>
          <w:szCs w:val="24"/>
          <w:lang w:val="sr-Latn-BA"/>
        </w:rPr>
        <w:t>UVOD</w:t>
      </w:r>
    </w:p>
    <w:p w:rsidR="00195DE1" w:rsidRPr="00455A7D" w:rsidRDefault="00195DE1" w:rsidP="00D66A6B">
      <w:pPr>
        <w:tabs>
          <w:tab w:val="left" w:pos="360"/>
        </w:tabs>
        <w:spacing w:after="120" w:line="216" w:lineRule="auto"/>
        <w:rPr>
          <w:rFonts w:ascii="Tahoma" w:hAnsi="Tahoma" w:cs="Tahoma"/>
          <w:lang w:val="sr-Latn-BA"/>
        </w:rPr>
      </w:pPr>
      <w:r w:rsidRPr="00455A7D">
        <w:rPr>
          <w:rFonts w:ascii="Tahoma" w:hAnsi="Tahoma" w:cs="Tahoma"/>
          <w:lang w:val="sr-Latn-BA"/>
        </w:rPr>
        <w:t>Analiza sudara vozilo-pješak podrazumjeva tipski pristup</w:t>
      </w:r>
      <w:r w:rsidRPr="00455A7D">
        <w:rPr>
          <w:rStyle w:val="FootnoteReference"/>
          <w:rFonts w:ascii="Tahoma" w:hAnsi="Tahoma" w:cs="Tahoma"/>
          <w:lang w:val="sr-Latn-BA"/>
        </w:rPr>
        <w:footnoteReference w:id="4"/>
      </w:r>
      <w:r w:rsidRPr="00455A7D">
        <w:rPr>
          <w:rFonts w:ascii="Tahoma" w:hAnsi="Tahoma" w:cs="Tahoma"/>
          <w:lang w:val="sr-Latn-BA"/>
        </w:rPr>
        <w:t xml:space="preserve"> rješavanju uzroka nastanka saobraćajne nezgode, ovisno o kojoj vrsti ''naleta'' u pješaka se radi, o režimu kretanja vozila i pješaka, o lokaciji saobraćajne nezgode, vrsti saobraćajnice, načina regulisanja saobraćaja i slično. Kod standardnog pristupa vještačenju saobraćajnih nezgoda, prvenstveno se utvrđuje nastanak opasne situacije, potom pojedinačni doprinos nastanku saobraćajne nezgode kao i pojedinačna mogućnost izbjegavanja nastanka iste. Posebno je bitno posmatrati mikro lokaciju saobraćajne nezgode i režime kretanja vozila i pješaka u vremenu nastanka opasne situacije odnosno saobraćajne nezgode.</w:t>
      </w:r>
    </w:p>
    <w:p w:rsidR="00195DE1" w:rsidRPr="00455A7D" w:rsidRDefault="00195DE1" w:rsidP="00D66A6B">
      <w:pPr>
        <w:tabs>
          <w:tab w:val="left" w:pos="360"/>
        </w:tabs>
        <w:spacing w:after="120" w:line="216" w:lineRule="auto"/>
        <w:rPr>
          <w:rFonts w:ascii="Tahoma" w:hAnsi="Tahoma" w:cs="Tahoma"/>
          <w:lang w:val="sr-Latn-BA"/>
        </w:rPr>
      </w:pPr>
      <w:r w:rsidRPr="00455A7D">
        <w:rPr>
          <w:rFonts w:ascii="Tahoma" w:hAnsi="Tahoma" w:cs="Tahoma"/>
          <w:lang w:val="sr-Latn-BA"/>
        </w:rPr>
        <w:t>U proceduri saobraćajno-tehničkog vještačenja, potrebno je utvrditi:</w:t>
      </w:r>
    </w:p>
    <w:p w:rsidR="00195DE1" w:rsidRPr="00455A7D" w:rsidRDefault="00195DE1" w:rsidP="00D66A6B">
      <w:pPr>
        <w:pStyle w:val="ListParagraph"/>
        <w:numPr>
          <w:ilvl w:val="0"/>
          <w:numId w:val="21"/>
        </w:numPr>
        <w:tabs>
          <w:tab w:val="left" w:pos="360"/>
        </w:tabs>
        <w:spacing w:after="120" w:line="216" w:lineRule="auto"/>
        <w:jc w:val="both"/>
        <w:rPr>
          <w:rFonts w:ascii="Tahoma" w:hAnsi="Tahoma" w:cs="Tahoma"/>
          <w:lang w:val="sr-Latn-BA"/>
        </w:rPr>
      </w:pPr>
      <w:r w:rsidRPr="00455A7D">
        <w:rPr>
          <w:rFonts w:ascii="Tahoma" w:hAnsi="Tahoma" w:cs="Tahoma"/>
          <w:lang w:val="sr-Latn-BA"/>
        </w:rPr>
        <w:t>pravac kretanja vozila,</w:t>
      </w:r>
    </w:p>
    <w:p w:rsidR="00195DE1" w:rsidRPr="00455A7D" w:rsidRDefault="00195DE1" w:rsidP="00D66A6B">
      <w:pPr>
        <w:pStyle w:val="ListParagraph"/>
        <w:numPr>
          <w:ilvl w:val="0"/>
          <w:numId w:val="21"/>
        </w:numPr>
        <w:tabs>
          <w:tab w:val="left" w:pos="360"/>
        </w:tabs>
        <w:spacing w:after="120" w:line="216" w:lineRule="auto"/>
        <w:jc w:val="both"/>
        <w:rPr>
          <w:rFonts w:ascii="Tahoma" w:hAnsi="Tahoma" w:cs="Tahoma"/>
          <w:lang w:val="sr-Latn-BA"/>
        </w:rPr>
      </w:pPr>
      <w:r w:rsidRPr="00455A7D">
        <w:rPr>
          <w:rFonts w:ascii="Tahoma" w:hAnsi="Tahoma" w:cs="Tahoma"/>
          <w:lang w:val="sr-Latn-BA"/>
        </w:rPr>
        <w:t>pravac kretanja pješaka,</w:t>
      </w:r>
    </w:p>
    <w:p w:rsidR="00195DE1" w:rsidRPr="00455A7D" w:rsidRDefault="00195DE1" w:rsidP="00D66A6B">
      <w:pPr>
        <w:pStyle w:val="ListParagraph"/>
        <w:numPr>
          <w:ilvl w:val="0"/>
          <w:numId w:val="21"/>
        </w:numPr>
        <w:tabs>
          <w:tab w:val="left" w:pos="360"/>
        </w:tabs>
        <w:spacing w:after="120" w:line="216" w:lineRule="auto"/>
        <w:jc w:val="both"/>
        <w:rPr>
          <w:rFonts w:ascii="Tahoma" w:hAnsi="Tahoma" w:cs="Tahoma"/>
          <w:lang w:val="sr-Latn-BA"/>
        </w:rPr>
      </w:pPr>
      <w:r w:rsidRPr="00455A7D">
        <w:rPr>
          <w:rFonts w:ascii="Tahoma" w:hAnsi="Tahoma" w:cs="Tahoma"/>
          <w:lang w:val="sr-Latn-BA"/>
        </w:rPr>
        <w:t>režim kretanja vozila i pješaka,</w:t>
      </w:r>
    </w:p>
    <w:p w:rsidR="00195DE1" w:rsidRPr="00455A7D" w:rsidRDefault="00195DE1" w:rsidP="00D66A6B">
      <w:pPr>
        <w:pStyle w:val="ListParagraph"/>
        <w:numPr>
          <w:ilvl w:val="0"/>
          <w:numId w:val="21"/>
        </w:numPr>
        <w:tabs>
          <w:tab w:val="left" w:pos="360"/>
        </w:tabs>
        <w:spacing w:after="120" w:line="216" w:lineRule="auto"/>
        <w:jc w:val="both"/>
        <w:rPr>
          <w:rFonts w:ascii="Tahoma" w:hAnsi="Tahoma" w:cs="Tahoma"/>
          <w:lang w:val="sr-Latn-BA"/>
        </w:rPr>
      </w:pPr>
      <w:r w:rsidRPr="00455A7D">
        <w:rPr>
          <w:rFonts w:ascii="Tahoma" w:hAnsi="Tahoma" w:cs="Tahoma"/>
          <w:lang w:val="sr-Latn-BA"/>
        </w:rPr>
        <w:t>brzine kretanja vozila i pješaka u momentu nastanka opasne situacije i u momentu sudara,</w:t>
      </w:r>
    </w:p>
    <w:p w:rsidR="00195DE1" w:rsidRPr="00455A7D" w:rsidRDefault="00195DE1" w:rsidP="00D66A6B">
      <w:pPr>
        <w:pStyle w:val="ListParagraph"/>
        <w:numPr>
          <w:ilvl w:val="0"/>
          <w:numId w:val="21"/>
        </w:numPr>
        <w:tabs>
          <w:tab w:val="left" w:pos="360"/>
        </w:tabs>
        <w:spacing w:after="120" w:line="216" w:lineRule="auto"/>
        <w:jc w:val="both"/>
        <w:rPr>
          <w:rFonts w:ascii="Tahoma" w:hAnsi="Tahoma" w:cs="Tahoma"/>
          <w:lang w:val="sr-Latn-BA"/>
        </w:rPr>
      </w:pPr>
      <w:r w:rsidRPr="00455A7D">
        <w:rPr>
          <w:rFonts w:ascii="Tahoma" w:hAnsi="Tahoma" w:cs="Tahoma"/>
          <w:lang w:val="sr-Latn-BA"/>
        </w:rPr>
        <w:t>pozicije vozila i pješaka u momentu nastanka opasne situacije i u momentu ostvarenog sudarnog kontakta,</w:t>
      </w:r>
    </w:p>
    <w:p w:rsidR="00195DE1" w:rsidRPr="00455A7D" w:rsidRDefault="00195DE1" w:rsidP="00D66A6B">
      <w:pPr>
        <w:pStyle w:val="ListParagraph"/>
        <w:numPr>
          <w:ilvl w:val="0"/>
          <w:numId w:val="21"/>
        </w:numPr>
        <w:tabs>
          <w:tab w:val="left" w:pos="360"/>
        </w:tabs>
        <w:spacing w:after="120" w:line="216" w:lineRule="auto"/>
        <w:jc w:val="both"/>
        <w:rPr>
          <w:rFonts w:ascii="Tahoma" w:hAnsi="Tahoma" w:cs="Tahoma"/>
          <w:lang w:val="sr-Latn-BA"/>
        </w:rPr>
      </w:pPr>
      <w:r w:rsidRPr="00455A7D">
        <w:rPr>
          <w:rFonts w:ascii="Tahoma" w:hAnsi="Tahoma" w:cs="Tahoma"/>
          <w:lang w:val="sr-Latn-BA"/>
        </w:rPr>
        <w:t>vremensko prostornu analizu toka saobraćajne nezgode.</w:t>
      </w:r>
    </w:p>
    <w:p w:rsidR="00195DE1" w:rsidRPr="00455A7D" w:rsidRDefault="00195DE1" w:rsidP="00195DE1">
      <w:pPr>
        <w:tabs>
          <w:tab w:val="left" w:pos="360"/>
        </w:tabs>
        <w:spacing w:after="0" w:line="216" w:lineRule="auto"/>
        <w:rPr>
          <w:rFonts w:ascii="Tahoma" w:hAnsi="Tahoma" w:cs="Tahoma"/>
          <w:lang w:val="sr-Latn-BA"/>
        </w:rPr>
      </w:pPr>
      <w:r w:rsidRPr="00455A7D">
        <w:rPr>
          <w:rFonts w:ascii="Tahoma" w:hAnsi="Tahoma" w:cs="Tahoma"/>
          <w:lang w:val="sr-Latn-BA"/>
        </w:rPr>
        <w:t xml:space="preserve">Formiranje mišljenja vještaka u pogledu ocjene uzroka saobraćajne nezgode i pojedinačnog doprinosa nastanku iste, ne može se utvrditi samo na osnovu elemenata iz saobraćajno - tehničke analize saobraćajne nezgode. </w:t>
      </w:r>
    </w:p>
    <w:p w:rsidR="00195DE1" w:rsidRPr="00455A7D" w:rsidRDefault="00195DE1" w:rsidP="00D66A6B">
      <w:pPr>
        <w:pStyle w:val="ListParagraph"/>
        <w:numPr>
          <w:ilvl w:val="0"/>
          <w:numId w:val="20"/>
        </w:numPr>
        <w:tabs>
          <w:tab w:val="left" w:pos="360"/>
        </w:tabs>
        <w:spacing w:before="480" w:after="120" w:line="216" w:lineRule="auto"/>
        <w:ind w:left="357" w:hanging="357"/>
        <w:jc w:val="both"/>
        <w:rPr>
          <w:rFonts w:ascii="Tahoma" w:hAnsi="Tahoma" w:cs="Tahoma"/>
          <w:b/>
          <w:sz w:val="24"/>
          <w:szCs w:val="24"/>
          <w:lang w:val="sr-Latn-BA"/>
        </w:rPr>
      </w:pPr>
      <w:r w:rsidRPr="00455A7D">
        <w:rPr>
          <w:rFonts w:ascii="Tahoma" w:hAnsi="Tahoma" w:cs="Tahoma"/>
          <w:b/>
          <w:sz w:val="24"/>
          <w:szCs w:val="24"/>
          <w:lang w:val="sr-Latn-BA"/>
        </w:rPr>
        <w:t>CILJEVI  ISTRAŽIVANJA</w:t>
      </w:r>
    </w:p>
    <w:p w:rsidR="00195DE1" w:rsidRPr="00455A7D" w:rsidRDefault="00195DE1" w:rsidP="00D66A6B">
      <w:pPr>
        <w:tabs>
          <w:tab w:val="left" w:pos="360"/>
        </w:tabs>
        <w:spacing w:after="120" w:line="216" w:lineRule="auto"/>
        <w:rPr>
          <w:rFonts w:ascii="Tahoma" w:hAnsi="Tahoma" w:cs="Tahoma"/>
          <w:lang w:val="sr-Latn-BA"/>
        </w:rPr>
      </w:pPr>
      <w:r w:rsidRPr="00455A7D">
        <w:rPr>
          <w:rFonts w:ascii="Tahoma" w:hAnsi="Tahoma" w:cs="Tahoma"/>
          <w:lang w:val="sr-Latn-BA"/>
        </w:rPr>
        <w:t>Mnogi alati zasnovani na računarskim tehnologijama omogućavaju vještacima saobraćajne struke egzaktno računanje parametara saobraćajne nezgode, uključujući i PC prezentaciju iste. Nezavisno o nivou tačnosti izvršene analize saobraćajne nezgode, pojavljuju se razlike u mišljenju pojedinih vještaka</w:t>
      </w:r>
      <w:r w:rsidRPr="00455A7D">
        <w:rPr>
          <w:rStyle w:val="FootnoteReference"/>
          <w:rFonts w:ascii="Tahoma" w:hAnsi="Tahoma" w:cs="Tahoma"/>
          <w:lang w:val="sr-Latn-BA"/>
        </w:rPr>
        <w:footnoteReference w:id="5"/>
      </w:r>
      <w:r w:rsidRPr="00455A7D">
        <w:rPr>
          <w:rFonts w:ascii="Tahoma" w:hAnsi="Tahoma" w:cs="Tahoma"/>
          <w:lang w:val="sr-Latn-BA"/>
        </w:rPr>
        <w:t xml:space="preserve"> u ocjeni uzroka saobraćajne nezgode, pojedinačnim doprinosima nastanku iste. Da li su vozačI i  pješaci  ravnopravni u saobraćaju, posmatrano sa aspekta odgovornosti za činjenje propusta u prekršajnom i krivičnom zakonodavstvu. Činjenica je da vozač ima veću odgovornost iz razloga što njegovi propusti koji dovedu do sudara sa pješakom imaju za posljedicu stradanja pješaka. To je zbog činjenice da je vozilo ''opasna stvar''</w:t>
      </w:r>
      <w:r w:rsidRPr="00455A7D">
        <w:rPr>
          <w:rStyle w:val="FootnoteReference"/>
          <w:rFonts w:ascii="Tahoma" w:hAnsi="Tahoma" w:cs="Tahoma"/>
          <w:lang w:val="sr-Latn-BA"/>
        </w:rPr>
        <w:footnoteReference w:id="6"/>
      </w:r>
      <w:r w:rsidRPr="00455A7D">
        <w:rPr>
          <w:rFonts w:ascii="Tahoma" w:hAnsi="Tahoma" w:cs="Tahoma"/>
          <w:lang w:val="sr-Latn-BA"/>
        </w:rPr>
        <w:t xml:space="preserve"> koja oslobađa veliku kinetičku energiju u sudarnom procesu. </w:t>
      </w:r>
    </w:p>
    <w:p w:rsidR="00195DE1" w:rsidRPr="00455A7D" w:rsidRDefault="00195DE1" w:rsidP="00D66A6B">
      <w:pPr>
        <w:tabs>
          <w:tab w:val="left" w:pos="360"/>
        </w:tabs>
        <w:spacing w:after="120" w:line="216" w:lineRule="auto"/>
        <w:rPr>
          <w:rFonts w:ascii="Tahoma" w:hAnsi="Tahoma" w:cs="Tahoma"/>
          <w:lang w:val="sr-Latn-BA"/>
        </w:rPr>
      </w:pPr>
      <w:r w:rsidRPr="00455A7D">
        <w:rPr>
          <w:rFonts w:ascii="Tahoma" w:hAnsi="Tahoma" w:cs="Tahoma"/>
          <w:lang w:val="sr-Latn-BA"/>
        </w:rPr>
        <w:t>Zbog svega navedenog, zakonodavac</w:t>
      </w:r>
      <w:r w:rsidRPr="00455A7D">
        <w:rPr>
          <w:rStyle w:val="FootnoteReference"/>
          <w:rFonts w:ascii="Tahoma" w:hAnsi="Tahoma" w:cs="Tahoma"/>
          <w:lang w:val="sr-Latn-BA"/>
        </w:rPr>
        <w:footnoteReference w:id="7"/>
      </w:r>
      <w:r w:rsidRPr="00455A7D">
        <w:rPr>
          <w:rFonts w:ascii="Tahoma" w:hAnsi="Tahoma" w:cs="Tahoma"/>
          <w:lang w:val="sr-Latn-BA"/>
        </w:rPr>
        <w:t xml:space="preserve"> je propisao rigoroznije prekršajne sankcije za vozača u odnosu na pješaka. Time je uspostavljena prevencija i viši nivo odgovornosti prema vozaču u odnosu na pješaka.</w:t>
      </w:r>
    </w:p>
    <w:p w:rsidR="00195DE1" w:rsidRDefault="00195DE1" w:rsidP="00195DE1">
      <w:pPr>
        <w:tabs>
          <w:tab w:val="left" w:pos="360"/>
        </w:tabs>
        <w:spacing w:after="0" w:line="216" w:lineRule="auto"/>
        <w:rPr>
          <w:rFonts w:ascii="Tahoma" w:hAnsi="Tahoma" w:cs="Tahoma"/>
          <w:lang w:val="sr-Latn-BA"/>
        </w:rPr>
      </w:pPr>
      <w:r w:rsidRPr="00455A7D">
        <w:rPr>
          <w:rFonts w:ascii="Tahoma" w:hAnsi="Tahoma" w:cs="Tahoma"/>
          <w:lang w:val="sr-Latn-BA"/>
        </w:rPr>
        <w:t>Međutim, kada su u pitanju saobraćajne nezgode, i vozač i pješak moraju biti ravnopravni pred zakonom, u pogledu utvrđivanja uzroka saobraćajne nezgode, neovisno o posljedicama. Uzrok nastanka saobraćajne nezgode se zasniva  na utvrđenim činjenicama koje su vezane za nastanak opasne situacije, pojedinačni doprinos nastanku saobraćajne nezgode odnosno mogućnost izbjegavanja nastanka iste.</w:t>
      </w:r>
    </w:p>
    <w:p w:rsidR="00455A7D" w:rsidRDefault="00455A7D" w:rsidP="00195DE1">
      <w:pPr>
        <w:tabs>
          <w:tab w:val="left" w:pos="360"/>
        </w:tabs>
        <w:spacing w:after="0" w:line="216" w:lineRule="auto"/>
        <w:rPr>
          <w:rFonts w:ascii="Tahoma" w:hAnsi="Tahoma" w:cs="Tahoma"/>
          <w:lang w:val="sr-Latn-BA"/>
        </w:rPr>
      </w:pPr>
    </w:p>
    <w:p w:rsidR="00455A7D" w:rsidRDefault="00455A7D" w:rsidP="00195DE1">
      <w:pPr>
        <w:tabs>
          <w:tab w:val="left" w:pos="360"/>
        </w:tabs>
        <w:spacing w:after="0" w:line="216" w:lineRule="auto"/>
        <w:rPr>
          <w:rFonts w:ascii="Tahoma" w:hAnsi="Tahoma" w:cs="Tahoma"/>
          <w:lang w:val="sr-Latn-BA"/>
        </w:rPr>
      </w:pPr>
    </w:p>
    <w:p w:rsidR="00455A7D" w:rsidRDefault="00455A7D" w:rsidP="00195DE1">
      <w:pPr>
        <w:tabs>
          <w:tab w:val="left" w:pos="360"/>
        </w:tabs>
        <w:spacing w:after="0" w:line="216" w:lineRule="auto"/>
        <w:rPr>
          <w:rFonts w:ascii="Tahoma" w:hAnsi="Tahoma" w:cs="Tahoma"/>
          <w:lang w:val="sr-Latn-BA"/>
        </w:rPr>
      </w:pPr>
    </w:p>
    <w:p w:rsidR="00195DE1" w:rsidRPr="00455A7D" w:rsidRDefault="00195DE1" w:rsidP="00455A7D">
      <w:pPr>
        <w:pStyle w:val="ListParagraph"/>
        <w:numPr>
          <w:ilvl w:val="0"/>
          <w:numId w:val="20"/>
        </w:numPr>
        <w:tabs>
          <w:tab w:val="left" w:pos="360"/>
        </w:tabs>
        <w:spacing w:before="120" w:after="240" w:line="216" w:lineRule="auto"/>
        <w:ind w:hanging="720"/>
        <w:contextualSpacing w:val="0"/>
        <w:jc w:val="both"/>
        <w:rPr>
          <w:rFonts w:ascii="Tahoma" w:hAnsi="Tahoma" w:cs="Tahoma"/>
          <w:b/>
          <w:lang w:val="sr-Latn-BA"/>
        </w:rPr>
      </w:pPr>
      <w:r w:rsidRPr="00455A7D">
        <w:rPr>
          <w:rFonts w:ascii="Tahoma" w:hAnsi="Tahoma" w:cs="Tahoma"/>
          <w:b/>
          <w:lang w:val="sr-Latn-BA"/>
        </w:rPr>
        <w:lastRenderedPageBreak/>
        <w:t>KRITERIJI ZA ANALIZU SAOBRAĆAJNE NEZGODE VOZILO-PJEŠAK</w:t>
      </w:r>
    </w:p>
    <w:p w:rsidR="00195DE1" w:rsidRPr="00455A7D" w:rsidRDefault="00195DE1" w:rsidP="00011152">
      <w:pPr>
        <w:tabs>
          <w:tab w:val="left" w:pos="360"/>
        </w:tabs>
        <w:spacing w:after="120" w:line="216" w:lineRule="auto"/>
        <w:rPr>
          <w:rFonts w:ascii="Tahoma" w:hAnsi="Tahoma" w:cs="Tahoma"/>
          <w:lang w:val="sr-Latn-BA"/>
        </w:rPr>
      </w:pPr>
      <w:r w:rsidRPr="00455A7D">
        <w:rPr>
          <w:rFonts w:ascii="Tahoma" w:hAnsi="Tahoma" w:cs="Tahoma"/>
          <w:lang w:val="sr-Latn-BA"/>
        </w:rPr>
        <w:t>Različito je poimanje određenih zakonskih definicija i odredbi od strane  vještaka a vrlo često i od strane sudova. Ukoliko se radi o saobraćajnoj nezgodi koja je nastala u površini pješačkog prelaza, sa svjetlosnom ili bez svjetlosne regulacije saobraćaja, tada je u pitanju jednostavniji pristup problema vještačenja. U pitanu su odredbe Zakona o osnovama bezbjednosti saobraćaja na putevima Bosne i Hercegovine. Slična je situacija i sa odredbama istog zakona Srbije i zemalja okruženja.</w:t>
      </w:r>
    </w:p>
    <w:p w:rsidR="00195DE1" w:rsidRPr="00455A7D" w:rsidRDefault="00195DE1" w:rsidP="00011152">
      <w:pPr>
        <w:tabs>
          <w:tab w:val="left" w:pos="360"/>
        </w:tabs>
        <w:spacing w:after="120" w:line="216" w:lineRule="auto"/>
        <w:rPr>
          <w:rFonts w:ascii="Tahoma" w:hAnsi="Tahoma" w:cs="Tahoma"/>
          <w:lang w:val="sr-Latn-BA"/>
        </w:rPr>
      </w:pPr>
      <w:r w:rsidRPr="00455A7D">
        <w:rPr>
          <w:rFonts w:ascii="Tahoma" w:hAnsi="Tahoma" w:cs="Tahoma"/>
          <w:lang w:val="sr-Latn-BA"/>
        </w:rPr>
        <w:t>Uzajamno povjerenje</w:t>
      </w:r>
      <w:r w:rsidRPr="00455A7D">
        <w:rPr>
          <w:rStyle w:val="FootnoteReference"/>
          <w:rFonts w:ascii="Tahoma" w:hAnsi="Tahoma" w:cs="Tahoma"/>
          <w:lang w:val="sr-Latn-BA"/>
        </w:rPr>
        <w:footnoteReference w:id="8"/>
      </w:r>
      <w:r w:rsidRPr="00455A7D">
        <w:rPr>
          <w:rFonts w:ascii="Tahoma" w:hAnsi="Tahoma" w:cs="Tahoma"/>
          <w:lang w:val="sr-Latn-BA"/>
        </w:rPr>
        <w:t xml:space="preserve"> između vozača i pješaka, regulisano je odredbama ZoOBS-a :</w:t>
      </w:r>
    </w:p>
    <w:p w:rsidR="00195DE1" w:rsidRPr="00455A7D" w:rsidRDefault="00195DE1" w:rsidP="00455A7D">
      <w:pPr>
        <w:pStyle w:val="ListParagraph"/>
        <w:numPr>
          <w:ilvl w:val="0"/>
          <w:numId w:val="29"/>
        </w:numPr>
        <w:tabs>
          <w:tab w:val="left" w:pos="360"/>
        </w:tabs>
        <w:spacing w:after="240" w:line="216" w:lineRule="auto"/>
        <w:ind w:left="357" w:hanging="357"/>
        <w:jc w:val="both"/>
        <w:rPr>
          <w:rFonts w:ascii="Tahoma" w:hAnsi="Tahoma" w:cs="Tahoma"/>
          <w:lang w:val="sr-Latn-BA"/>
        </w:rPr>
      </w:pPr>
      <w:r w:rsidRPr="00455A7D">
        <w:rPr>
          <w:rFonts w:ascii="Tahoma" w:hAnsi="Tahoma" w:cs="Tahoma"/>
          <w:lang w:val="sr-Latn-BA"/>
        </w:rPr>
        <w:t>Ako je saobraćaj na obilježenom pješačkom prelazu regulisan svjetlosnim saobraćajnim znakovima za pješake, pješak je dužan postupati prema tim znakovima.</w:t>
      </w:r>
    </w:p>
    <w:p w:rsidR="00195DE1" w:rsidRPr="00455A7D" w:rsidRDefault="00195DE1" w:rsidP="00455A7D">
      <w:pPr>
        <w:pStyle w:val="ListParagraph"/>
        <w:numPr>
          <w:ilvl w:val="0"/>
          <w:numId w:val="29"/>
        </w:numPr>
        <w:tabs>
          <w:tab w:val="left" w:pos="360"/>
        </w:tabs>
        <w:spacing w:before="120" w:after="120" w:line="216" w:lineRule="auto"/>
        <w:ind w:left="357" w:hanging="357"/>
        <w:jc w:val="both"/>
        <w:rPr>
          <w:rFonts w:ascii="Tahoma" w:hAnsi="Tahoma" w:cs="Tahoma"/>
          <w:lang w:val="sr-Latn-BA"/>
        </w:rPr>
      </w:pPr>
      <w:r w:rsidRPr="00455A7D">
        <w:rPr>
          <w:rFonts w:ascii="Tahoma" w:hAnsi="Tahoma" w:cs="Tahoma"/>
          <w:lang w:val="sr-Latn-BA"/>
        </w:rPr>
        <w:t>Ako saobraćaj na obilježenom pješačkom prelazu nije regulisan svjetlosnim saobraćajnim znakovima, ali je saobraćaj vozila regulisan svjetlosnim saobraćajnim znakovima za vozila ili znakovima koje daju ovlaštena lica, pješaci mogu prelaziti kolovoz samo dok im je datim znakom dozvoljen prelaz kolovoza.</w:t>
      </w:r>
    </w:p>
    <w:p w:rsidR="00195DE1" w:rsidRPr="00455A7D" w:rsidRDefault="00195DE1" w:rsidP="00455A7D">
      <w:pPr>
        <w:widowControl/>
        <w:numPr>
          <w:ilvl w:val="0"/>
          <w:numId w:val="29"/>
        </w:numPr>
        <w:tabs>
          <w:tab w:val="left" w:pos="360"/>
        </w:tabs>
        <w:spacing w:after="120" w:line="216" w:lineRule="auto"/>
        <w:rPr>
          <w:rFonts w:ascii="Tahoma" w:hAnsi="Tahoma" w:cs="Tahoma"/>
          <w:lang w:val="sr-Latn-BA"/>
        </w:rPr>
      </w:pPr>
      <w:r w:rsidRPr="00455A7D">
        <w:rPr>
          <w:rFonts w:ascii="Tahoma" w:hAnsi="Tahoma" w:cs="Tahoma"/>
          <w:lang w:val="sr-Latn-BA"/>
        </w:rPr>
        <w:t>Ako na obilježenom pješačkom prelazu saobraćaj nije regulisan svjetlosnim saobraćajnim znakovima, ni znakovima koje daje ovlašteno lice, prije stupanja na pješački prelaz pješak je dužan obratiti pažnju na udaljenost i brzinu vozila koja mu se približavaju.</w:t>
      </w:r>
    </w:p>
    <w:p w:rsidR="00195DE1" w:rsidRPr="00455A7D" w:rsidRDefault="00195DE1" w:rsidP="00455A7D">
      <w:pPr>
        <w:widowControl/>
        <w:numPr>
          <w:ilvl w:val="0"/>
          <w:numId w:val="29"/>
        </w:numPr>
        <w:tabs>
          <w:tab w:val="left" w:pos="360"/>
        </w:tabs>
        <w:spacing w:after="120" w:line="216" w:lineRule="auto"/>
        <w:rPr>
          <w:rFonts w:ascii="Tahoma" w:hAnsi="Tahoma" w:cs="Tahoma"/>
          <w:lang w:val="sr-Latn-BA"/>
        </w:rPr>
      </w:pPr>
      <w:r w:rsidRPr="00455A7D">
        <w:rPr>
          <w:rFonts w:ascii="Tahoma" w:hAnsi="Tahoma" w:cs="Tahoma"/>
          <w:lang w:val="sr-Latn-BA"/>
        </w:rPr>
        <w:t>Ako saobraćaj na obilježenom pješačkom prelazu nije regulisan svjetlosnim saobraćajnim znakovima, ili znakovima koje daje ovlašteno lice, vozač je dužan zaustaviti vozilo  ispred pješačkog prelaza, kako bi propustio pješake koji prelaze ili stupaju na pješački prelaz, ili nedvosmisleno pokazuju namjeru da pređu preko pješačkog prelaza.</w:t>
      </w:r>
    </w:p>
    <w:p w:rsidR="00195DE1" w:rsidRPr="00455A7D" w:rsidRDefault="00195DE1" w:rsidP="00455A7D">
      <w:pPr>
        <w:widowControl/>
        <w:numPr>
          <w:ilvl w:val="0"/>
          <w:numId w:val="29"/>
        </w:numPr>
        <w:tabs>
          <w:tab w:val="left" w:pos="360"/>
        </w:tabs>
        <w:spacing w:after="120" w:line="216" w:lineRule="auto"/>
        <w:rPr>
          <w:rFonts w:ascii="Tahoma" w:hAnsi="Tahoma" w:cs="Tahoma"/>
          <w:lang w:val="sr-Latn-BA"/>
        </w:rPr>
      </w:pPr>
      <w:r w:rsidRPr="00455A7D">
        <w:rPr>
          <w:rFonts w:ascii="Tahoma" w:hAnsi="Tahoma" w:cs="Tahoma"/>
          <w:lang w:val="sr-Latn-BA"/>
        </w:rPr>
        <w:t>Prije stupanja na pješački prelaz pješak je dužan obratiti pažnju na udaljenost i brzinu vozila</w:t>
      </w:r>
      <w:r w:rsidRPr="00455A7D">
        <w:rPr>
          <w:rStyle w:val="FootnoteReference"/>
          <w:rFonts w:ascii="Tahoma" w:hAnsi="Tahoma" w:cs="Tahoma"/>
          <w:lang w:val="sr-Latn-BA"/>
        </w:rPr>
        <w:footnoteReference w:id="9"/>
      </w:r>
      <w:r w:rsidRPr="00455A7D">
        <w:rPr>
          <w:rFonts w:ascii="Tahoma" w:hAnsi="Tahoma" w:cs="Tahoma"/>
          <w:lang w:val="sr-Latn-BA"/>
        </w:rPr>
        <w:t xml:space="preserve"> koja mu se približavaju.</w:t>
      </w:r>
    </w:p>
    <w:p w:rsidR="00195DE1" w:rsidRPr="00455A7D" w:rsidRDefault="00195DE1" w:rsidP="00011152">
      <w:pPr>
        <w:tabs>
          <w:tab w:val="left" w:pos="360"/>
        </w:tabs>
        <w:spacing w:after="120" w:line="216" w:lineRule="auto"/>
        <w:rPr>
          <w:rFonts w:ascii="Tahoma" w:hAnsi="Tahoma" w:cs="Tahoma"/>
          <w:lang w:val="sr-Latn-BA"/>
        </w:rPr>
      </w:pPr>
      <w:r w:rsidRPr="00455A7D">
        <w:rPr>
          <w:rFonts w:ascii="Tahoma" w:hAnsi="Tahoma" w:cs="Tahoma"/>
          <w:lang w:val="sr-Latn-BA"/>
        </w:rPr>
        <w:t>Kod navedenih odrednica definisana su pravila ponašanja vozača i pješaka u lokaciji pješačkog prelaza, ako je saobraćaj regulisan svjetlosnim znakovima i ako nije regulisan svjetlosnim znakovima. Kod takvih vještačenja postoje usaglašeni kriteriji kod formiranja mišljenja vještaka odnosno može se konstatovati da postoji ujednačen pristup sudova kod utvrđivanja uzroka saobraćajne nezgode i izricanja sankcije.</w:t>
      </w:r>
    </w:p>
    <w:p w:rsidR="00195DE1" w:rsidRPr="00455A7D" w:rsidRDefault="00195DE1" w:rsidP="00011152">
      <w:pPr>
        <w:tabs>
          <w:tab w:val="left" w:pos="360"/>
        </w:tabs>
        <w:spacing w:after="120" w:line="216" w:lineRule="auto"/>
        <w:rPr>
          <w:rFonts w:ascii="Tahoma" w:hAnsi="Tahoma" w:cs="Tahoma"/>
          <w:lang w:val="sr-Latn-BA"/>
        </w:rPr>
      </w:pPr>
      <w:r w:rsidRPr="00455A7D">
        <w:rPr>
          <w:rFonts w:ascii="Tahoma" w:hAnsi="Tahoma" w:cs="Tahoma"/>
          <w:lang w:val="sr-Latn-BA"/>
        </w:rPr>
        <w:t>Međutim, u slučajevima saobraćajnih nezgoda sa pješakom van pješačkog prelaza, različiti su pristupi u vještačenju a samim tim i sudske presude su različite. U navedenim slučajevima ne postoji usaglašen stav,  prije svega saobraćajne struke. Različita je i praksa u postupanju nadležnih sudova.</w:t>
      </w:r>
    </w:p>
    <w:p w:rsidR="00195DE1" w:rsidRPr="00455A7D" w:rsidRDefault="00195DE1" w:rsidP="00011152">
      <w:pPr>
        <w:tabs>
          <w:tab w:val="left" w:pos="360"/>
        </w:tabs>
        <w:spacing w:after="120" w:line="216" w:lineRule="auto"/>
        <w:rPr>
          <w:rFonts w:ascii="Tahoma" w:hAnsi="Tahoma" w:cs="Tahoma"/>
          <w:lang w:val="sr-Latn-BA"/>
        </w:rPr>
      </w:pPr>
      <w:r w:rsidRPr="00455A7D">
        <w:rPr>
          <w:rFonts w:ascii="Tahoma" w:hAnsi="Tahoma" w:cs="Tahoma"/>
          <w:lang w:val="sr-Latn-BA"/>
        </w:rPr>
        <w:t>Shodno navedenom, potrebno je apostrofirati sljedeće zakonske norme</w:t>
      </w:r>
      <w:r w:rsidRPr="00455A7D">
        <w:rPr>
          <w:rStyle w:val="FootnoteReference"/>
          <w:rFonts w:ascii="Tahoma" w:hAnsi="Tahoma" w:cs="Tahoma"/>
          <w:lang w:val="sr-Latn-BA"/>
        </w:rPr>
        <w:footnoteReference w:id="10"/>
      </w:r>
      <w:r w:rsidRPr="00455A7D">
        <w:rPr>
          <w:rFonts w:ascii="Tahoma" w:hAnsi="Tahoma" w:cs="Tahoma"/>
          <w:lang w:val="sr-Latn-BA"/>
        </w:rPr>
        <w:t xml:space="preserve"> ZOBS-a:</w:t>
      </w:r>
    </w:p>
    <w:p w:rsidR="00195DE1" w:rsidRPr="00455A7D" w:rsidRDefault="00195DE1" w:rsidP="00455A7D">
      <w:pPr>
        <w:pStyle w:val="ListParagraph"/>
        <w:numPr>
          <w:ilvl w:val="0"/>
          <w:numId w:val="27"/>
        </w:numPr>
        <w:tabs>
          <w:tab w:val="left" w:pos="360"/>
        </w:tabs>
        <w:spacing w:after="120" w:line="216" w:lineRule="auto"/>
        <w:ind w:left="360"/>
        <w:jc w:val="both"/>
        <w:rPr>
          <w:rFonts w:ascii="Tahoma" w:hAnsi="Tahoma" w:cs="Tahoma"/>
          <w:lang w:val="sr-Latn-BA"/>
        </w:rPr>
      </w:pPr>
      <w:r w:rsidRPr="00455A7D">
        <w:rPr>
          <w:rFonts w:ascii="Tahoma" w:hAnsi="Tahoma" w:cs="Tahoma"/>
          <w:lang w:val="sr-Latn-BA"/>
        </w:rPr>
        <w:t xml:space="preserve">Član 9. Stav 1. </w:t>
      </w:r>
    </w:p>
    <w:p w:rsidR="00195DE1" w:rsidRPr="00455A7D" w:rsidRDefault="00195DE1" w:rsidP="00455A7D">
      <w:pPr>
        <w:pStyle w:val="ListParagraph"/>
        <w:tabs>
          <w:tab w:val="left" w:pos="360"/>
        </w:tabs>
        <w:spacing w:after="120" w:line="216" w:lineRule="auto"/>
        <w:ind w:left="360"/>
        <w:jc w:val="both"/>
        <w:rPr>
          <w:rFonts w:ascii="Tahoma" w:hAnsi="Tahoma" w:cs="Tahoma"/>
          <w:lang w:val="sr-Latn-BA"/>
        </w:rPr>
      </w:pPr>
      <w:r w:rsidRPr="00455A7D">
        <w:rPr>
          <w:rFonts w:ascii="Tahoma" w:hAnsi="Tahoma" w:cs="Tahoma"/>
          <w:lang w:val="sr-Latn-BA"/>
        </w:rPr>
        <w:t>tačka 15) kolovoz je dio površine puta namjenjen prvenstveno za saobraćaj vozila.</w:t>
      </w:r>
    </w:p>
    <w:p w:rsidR="00195DE1" w:rsidRPr="00455A7D" w:rsidRDefault="00195DE1" w:rsidP="00455A7D">
      <w:pPr>
        <w:tabs>
          <w:tab w:val="left" w:pos="360"/>
        </w:tabs>
        <w:spacing w:after="120" w:line="216" w:lineRule="auto"/>
        <w:ind w:left="360"/>
        <w:rPr>
          <w:rFonts w:ascii="Tahoma" w:hAnsi="Tahoma" w:cs="Tahoma"/>
          <w:lang w:val="sr-Latn-BA"/>
        </w:rPr>
      </w:pPr>
      <w:r w:rsidRPr="00455A7D">
        <w:rPr>
          <w:rFonts w:ascii="Tahoma" w:hAnsi="Tahoma" w:cs="Tahoma"/>
          <w:lang w:val="sr-Latn-BA"/>
        </w:rPr>
        <w:t xml:space="preserve">tačka 74) trotoar je posebno uređena saobraćajna površina namijenjena za kretanje pješaka, koja nije u istom nivou s kolovozom puta, ili je od kolovoza odvojena na drugi način; </w:t>
      </w:r>
      <w:r w:rsidRPr="00455A7D">
        <w:rPr>
          <w:rFonts w:ascii="Tahoma" w:hAnsi="Tahoma" w:cs="Tahoma"/>
          <w:lang w:val="sr-Latn-BA"/>
        </w:rPr>
        <w:tab/>
        <w:t>Komentar: Svi ostali (uključujući i pješake) imaju se ponašati na zakonom propisan način. Zakonodavac razdvaja površine namjenjene z akretanje vozila i pješaka.</w:t>
      </w:r>
    </w:p>
    <w:p w:rsidR="00195DE1" w:rsidRPr="00455A7D" w:rsidRDefault="00195DE1" w:rsidP="00455A7D">
      <w:pPr>
        <w:pStyle w:val="ListParagraph"/>
        <w:numPr>
          <w:ilvl w:val="0"/>
          <w:numId w:val="27"/>
        </w:numPr>
        <w:tabs>
          <w:tab w:val="left" w:pos="360"/>
        </w:tabs>
        <w:spacing w:after="120" w:line="216" w:lineRule="auto"/>
        <w:ind w:left="360"/>
        <w:jc w:val="both"/>
        <w:rPr>
          <w:rFonts w:ascii="Tahoma" w:hAnsi="Tahoma" w:cs="Tahoma"/>
          <w:lang w:val="sr-Latn-BA"/>
        </w:rPr>
      </w:pPr>
      <w:r w:rsidRPr="00455A7D">
        <w:rPr>
          <w:rFonts w:ascii="Tahoma" w:hAnsi="Tahoma" w:cs="Tahoma"/>
          <w:lang w:val="sr-Latn-BA"/>
        </w:rPr>
        <w:t xml:space="preserve">Član 28.   </w:t>
      </w:r>
    </w:p>
    <w:p w:rsidR="00195DE1" w:rsidRPr="00455A7D" w:rsidRDefault="00195DE1" w:rsidP="00455A7D">
      <w:pPr>
        <w:tabs>
          <w:tab w:val="left" w:pos="360"/>
        </w:tabs>
        <w:spacing w:after="120" w:line="216" w:lineRule="auto"/>
        <w:ind w:left="360"/>
        <w:rPr>
          <w:rFonts w:ascii="Tahoma" w:hAnsi="Tahoma" w:cs="Tahoma"/>
          <w:lang w:val="sr-Latn-BA"/>
        </w:rPr>
      </w:pPr>
      <w:r w:rsidRPr="00455A7D">
        <w:rPr>
          <w:rFonts w:ascii="Tahoma" w:hAnsi="Tahoma" w:cs="Tahoma"/>
          <w:lang w:val="sr-Latn-BA"/>
        </w:rPr>
        <w:t>1) Vozač je dužan u toku upravlјanja vozilom obratiti pažnju na pješake koji se nalaze na kolovozu ili stupaju na kolovoz.</w:t>
      </w:r>
    </w:p>
    <w:p w:rsidR="00195DE1" w:rsidRPr="00455A7D" w:rsidRDefault="00195DE1" w:rsidP="00455A7D">
      <w:pPr>
        <w:tabs>
          <w:tab w:val="left" w:pos="360"/>
        </w:tabs>
        <w:spacing w:after="120" w:line="216" w:lineRule="auto"/>
        <w:ind w:left="360"/>
        <w:rPr>
          <w:rFonts w:ascii="Tahoma" w:hAnsi="Tahoma" w:cs="Tahoma"/>
          <w:lang w:val="sr-Latn-BA"/>
        </w:rPr>
      </w:pPr>
      <w:r w:rsidRPr="00455A7D">
        <w:rPr>
          <w:rFonts w:ascii="Tahoma" w:hAnsi="Tahoma" w:cs="Tahoma"/>
          <w:lang w:val="sr-Latn-BA"/>
        </w:rPr>
        <w:t xml:space="preserve">2) Kad prilazi obilјeženom pješačkom prijelazu, vozač mora upravlјati vozilom s </w:t>
      </w:r>
      <w:r w:rsidRPr="00455A7D">
        <w:rPr>
          <w:rFonts w:ascii="Tahoma" w:hAnsi="Tahoma" w:cs="Tahoma"/>
          <w:lang w:val="sr-Latn-BA"/>
        </w:rPr>
        <w:lastRenderedPageBreak/>
        <w:t>naročitim oprezom i voziti takvom brzinom da u slučaju potrebe može zaustaviti vozilo ispred pješačkog prijelaza.</w:t>
      </w:r>
    </w:p>
    <w:p w:rsidR="00195DE1" w:rsidRPr="00455A7D" w:rsidRDefault="00195DE1" w:rsidP="00455A7D">
      <w:pPr>
        <w:tabs>
          <w:tab w:val="left" w:pos="360"/>
        </w:tabs>
        <w:spacing w:after="120" w:line="216" w:lineRule="auto"/>
        <w:ind w:left="360"/>
        <w:rPr>
          <w:rFonts w:ascii="Tahoma" w:hAnsi="Tahoma" w:cs="Tahoma"/>
          <w:lang w:val="sr-Latn-BA"/>
        </w:rPr>
      </w:pPr>
      <w:r w:rsidRPr="00455A7D">
        <w:rPr>
          <w:rFonts w:ascii="Tahoma" w:hAnsi="Tahoma" w:cs="Tahoma"/>
          <w:lang w:val="sr-Latn-BA"/>
        </w:rPr>
        <w:t>3) Na dijelu puta po kojem se kreću djeca, ili na kojem su postavlјeni saobraćajni znaci o učešću djece u saobraćaju, vozač je dužan voziti s naročitim oprezom i takvom brzinom da može vozilo zaustaviti u slučaju potrebe.</w:t>
      </w:r>
    </w:p>
    <w:p w:rsidR="00195DE1" w:rsidRPr="00455A7D" w:rsidRDefault="00195DE1" w:rsidP="00455A7D">
      <w:pPr>
        <w:tabs>
          <w:tab w:val="left" w:pos="360"/>
        </w:tabs>
        <w:spacing w:after="120" w:line="216" w:lineRule="auto"/>
        <w:ind w:left="360"/>
        <w:rPr>
          <w:rFonts w:ascii="Tahoma" w:hAnsi="Tahoma" w:cs="Tahoma"/>
          <w:lang w:val="sr-Latn-BA"/>
        </w:rPr>
      </w:pPr>
      <w:r w:rsidRPr="00455A7D">
        <w:rPr>
          <w:rFonts w:ascii="Tahoma" w:hAnsi="Tahoma" w:cs="Tahoma"/>
          <w:lang w:val="sr-Latn-BA"/>
        </w:rPr>
        <w:t>Komentar: Ovim članom zakonodavac ograničava načelo povjerenja prema pješacima koji se kreću po kolovozu, u neposrednoj blizini pješačkog prelaza i prema djeci kao posebnoj kategoriji učesnika.</w:t>
      </w:r>
    </w:p>
    <w:p w:rsidR="00195DE1" w:rsidRPr="00455A7D" w:rsidRDefault="00195DE1" w:rsidP="00455A7D">
      <w:pPr>
        <w:pStyle w:val="ListParagraph"/>
        <w:numPr>
          <w:ilvl w:val="0"/>
          <w:numId w:val="27"/>
        </w:numPr>
        <w:tabs>
          <w:tab w:val="left" w:pos="360"/>
        </w:tabs>
        <w:spacing w:after="120" w:line="216" w:lineRule="auto"/>
        <w:ind w:left="360"/>
        <w:jc w:val="both"/>
        <w:rPr>
          <w:rFonts w:ascii="Tahoma" w:hAnsi="Tahoma" w:cs="Tahoma"/>
          <w:lang w:val="sr-Latn-BA"/>
        </w:rPr>
      </w:pPr>
      <w:r w:rsidRPr="00455A7D">
        <w:rPr>
          <w:rFonts w:ascii="Tahoma" w:hAnsi="Tahoma" w:cs="Tahoma"/>
          <w:lang w:val="sr-Latn-BA"/>
        </w:rPr>
        <w:t>Član 105.</w:t>
      </w:r>
    </w:p>
    <w:p w:rsidR="00195DE1" w:rsidRPr="00455A7D" w:rsidRDefault="00195DE1" w:rsidP="00455A7D">
      <w:pPr>
        <w:widowControl/>
        <w:numPr>
          <w:ilvl w:val="0"/>
          <w:numId w:val="22"/>
        </w:numPr>
        <w:tabs>
          <w:tab w:val="left" w:pos="360"/>
        </w:tabs>
        <w:spacing w:after="120" w:line="216" w:lineRule="auto"/>
        <w:ind w:left="720"/>
        <w:rPr>
          <w:rFonts w:ascii="Tahoma" w:hAnsi="Tahoma" w:cs="Tahoma"/>
          <w:lang w:val="sr-Latn-BA"/>
        </w:rPr>
      </w:pPr>
      <w:r w:rsidRPr="00455A7D">
        <w:rPr>
          <w:rFonts w:ascii="Tahoma" w:hAnsi="Tahoma" w:cs="Tahoma"/>
          <w:lang w:val="sr-Latn-BA"/>
        </w:rPr>
        <w:t>Pješak se ne smije po pravilu kretati i zadržavati na kolovozu.</w:t>
      </w:r>
    </w:p>
    <w:p w:rsidR="00195DE1" w:rsidRPr="00455A7D" w:rsidRDefault="00195DE1" w:rsidP="00455A7D">
      <w:pPr>
        <w:widowControl/>
        <w:numPr>
          <w:ilvl w:val="0"/>
          <w:numId w:val="22"/>
        </w:numPr>
        <w:tabs>
          <w:tab w:val="left" w:pos="360"/>
        </w:tabs>
        <w:spacing w:after="120" w:line="216" w:lineRule="auto"/>
        <w:ind w:left="720"/>
        <w:rPr>
          <w:rFonts w:ascii="Tahoma" w:hAnsi="Tahoma" w:cs="Tahoma"/>
          <w:lang w:val="sr-Latn-BA"/>
        </w:rPr>
      </w:pPr>
      <w:r w:rsidRPr="00455A7D">
        <w:rPr>
          <w:rFonts w:ascii="Tahoma" w:hAnsi="Tahoma" w:cs="Tahoma"/>
          <w:lang w:val="sr-Latn-BA"/>
        </w:rPr>
        <w:t>Ako se pješak kreće po kolovozu, on se mora kretati što bliže ivici kolovoza, i to veoma pažljivo i na način kojim ne ometa ili sprečava saobraćaj vozila.</w:t>
      </w:r>
    </w:p>
    <w:p w:rsidR="00195DE1" w:rsidRPr="00455A7D" w:rsidRDefault="00195DE1" w:rsidP="00011152">
      <w:pPr>
        <w:tabs>
          <w:tab w:val="left" w:pos="360"/>
        </w:tabs>
        <w:spacing w:after="120" w:line="216" w:lineRule="auto"/>
        <w:rPr>
          <w:rFonts w:ascii="Tahoma" w:hAnsi="Tahoma" w:cs="Tahoma"/>
          <w:lang w:val="sr-Latn-BA"/>
        </w:rPr>
      </w:pPr>
      <w:r w:rsidRPr="00455A7D">
        <w:rPr>
          <w:rFonts w:ascii="Tahoma" w:hAnsi="Tahoma" w:cs="Tahoma"/>
          <w:lang w:val="sr-Latn-BA"/>
        </w:rPr>
        <w:tab/>
        <w:t>Komentar: Zakonodavac ovom odredbom izričito obavezuje pješake da posvete posebnu pažnju u slučajevima kad se kreću površinom namijenjenom za kretanje vozila.</w:t>
      </w:r>
    </w:p>
    <w:p w:rsidR="00195DE1" w:rsidRPr="00455A7D" w:rsidRDefault="00195DE1" w:rsidP="00455A7D">
      <w:pPr>
        <w:pStyle w:val="ListParagraph"/>
        <w:numPr>
          <w:ilvl w:val="0"/>
          <w:numId w:val="27"/>
        </w:numPr>
        <w:tabs>
          <w:tab w:val="left" w:pos="360"/>
        </w:tabs>
        <w:spacing w:after="120" w:line="216" w:lineRule="auto"/>
        <w:ind w:left="360"/>
        <w:jc w:val="both"/>
        <w:rPr>
          <w:rFonts w:ascii="Tahoma" w:hAnsi="Tahoma" w:cs="Tahoma"/>
          <w:lang w:val="sr-Latn-BA"/>
        </w:rPr>
      </w:pPr>
      <w:r w:rsidRPr="00455A7D">
        <w:rPr>
          <w:rFonts w:ascii="Tahoma" w:hAnsi="Tahoma" w:cs="Tahoma"/>
          <w:lang w:val="sr-Latn-BA"/>
        </w:rPr>
        <w:t>Član 108.</w:t>
      </w:r>
    </w:p>
    <w:p w:rsidR="00195DE1" w:rsidRPr="00455A7D" w:rsidRDefault="00195DE1" w:rsidP="00455A7D">
      <w:pPr>
        <w:widowControl/>
        <w:numPr>
          <w:ilvl w:val="0"/>
          <w:numId w:val="23"/>
        </w:numPr>
        <w:tabs>
          <w:tab w:val="left" w:pos="360"/>
        </w:tabs>
        <w:spacing w:after="120" w:line="216" w:lineRule="auto"/>
        <w:ind w:left="720"/>
        <w:rPr>
          <w:rFonts w:ascii="Tahoma" w:hAnsi="Tahoma" w:cs="Tahoma"/>
          <w:lang w:val="sr-Latn-BA"/>
        </w:rPr>
      </w:pPr>
      <w:r w:rsidRPr="00455A7D">
        <w:rPr>
          <w:rFonts w:ascii="Tahoma" w:hAnsi="Tahoma" w:cs="Tahoma"/>
          <w:lang w:val="sr-Latn-BA"/>
        </w:rPr>
        <w:t>Pješak je dužan prelaziti preko kolovoza i biciklističke staze pažljivo i najkraćim putem pošto se prije stupanja na kolovoz uvjeri da to može učiniti na siguran način.</w:t>
      </w:r>
    </w:p>
    <w:p w:rsidR="00195DE1" w:rsidRPr="00455A7D" w:rsidRDefault="00195DE1" w:rsidP="00455A7D">
      <w:pPr>
        <w:widowControl/>
        <w:numPr>
          <w:ilvl w:val="0"/>
          <w:numId w:val="23"/>
        </w:numPr>
        <w:tabs>
          <w:tab w:val="left" w:pos="360"/>
        </w:tabs>
        <w:spacing w:after="120" w:line="216" w:lineRule="auto"/>
        <w:ind w:left="720"/>
        <w:rPr>
          <w:rFonts w:ascii="Tahoma" w:hAnsi="Tahoma" w:cs="Tahoma"/>
          <w:lang w:val="sr-Latn-BA"/>
        </w:rPr>
      </w:pPr>
      <w:r w:rsidRPr="00455A7D">
        <w:rPr>
          <w:rFonts w:ascii="Tahoma" w:hAnsi="Tahoma" w:cs="Tahoma"/>
          <w:lang w:val="sr-Latn-BA"/>
        </w:rPr>
        <w:t>Za vrijeme kretanja kolovozom pješak ne smije da koristi mobilni telefon niti da ima slušalice u oba uha.</w:t>
      </w:r>
    </w:p>
    <w:p w:rsidR="00195DE1" w:rsidRPr="00455A7D" w:rsidRDefault="00195DE1" w:rsidP="00455A7D">
      <w:pPr>
        <w:widowControl/>
        <w:numPr>
          <w:ilvl w:val="0"/>
          <w:numId w:val="23"/>
        </w:numPr>
        <w:tabs>
          <w:tab w:val="left" w:pos="360"/>
        </w:tabs>
        <w:spacing w:after="120" w:line="216" w:lineRule="auto"/>
        <w:ind w:left="720"/>
        <w:rPr>
          <w:rFonts w:ascii="Tahoma" w:hAnsi="Tahoma" w:cs="Tahoma"/>
          <w:lang w:val="sr-Latn-BA"/>
        </w:rPr>
      </w:pPr>
      <w:r w:rsidRPr="00455A7D">
        <w:rPr>
          <w:rFonts w:ascii="Tahoma" w:hAnsi="Tahoma" w:cs="Tahoma"/>
          <w:lang w:val="sr-Latn-BA"/>
        </w:rPr>
        <w:t>Na putu koji ima obilježene pješačke prelaze ili posebno izgrađene prelaze, odnosno prolaze za pješake, pri prelaženju puta pješak je dužan kretati se tim prelazima odnosno prolazima, ako oni nisu od njega udaljeni više od 100 metara.</w:t>
      </w:r>
    </w:p>
    <w:p w:rsidR="00195DE1" w:rsidRPr="00455A7D" w:rsidRDefault="00195DE1" w:rsidP="00455A7D">
      <w:pPr>
        <w:pStyle w:val="ListParagraph"/>
        <w:numPr>
          <w:ilvl w:val="0"/>
          <w:numId w:val="27"/>
        </w:numPr>
        <w:tabs>
          <w:tab w:val="left" w:pos="360"/>
        </w:tabs>
        <w:spacing w:after="120" w:line="216" w:lineRule="auto"/>
        <w:ind w:left="360"/>
        <w:jc w:val="both"/>
        <w:rPr>
          <w:rFonts w:ascii="Tahoma" w:hAnsi="Tahoma" w:cs="Tahoma"/>
          <w:lang w:val="sr-Latn-BA"/>
        </w:rPr>
      </w:pPr>
      <w:r w:rsidRPr="00455A7D">
        <w:rPr>
          <w:rFonts w:ascii="Tahoma" w:hAnsi="Tahoma" w:cs="Tahoma"/>
          <w:lang w:val="sr-Latn-BA"/>
        </w:rPr>
        <w:t>Član 110.</w:t>
      </w:r>
    </w:p>
    <w:p w:rsidR="00195DE1" w:rsidRPr="00455A7D" w:rsidRDefault="00195DE1" w:rsidP="00455A7D">
      <w:pPr>
        <w:widowControl/>
        <w:numPr>
          <w:ilvl w:val="0"/>
          <w:numId w:val="24"/>
        </w:numPr>
        <w:tabs>
          <w:tab w:val="left" w:pos="360"/>
        </w:tabs>
        <w:spacing w:after="120" w:line="216" w:lineRule="auto"/>
        <w:ind w:left="720"/>
        <w:rPr>
          <w:rFonts w:ascii="Tahoma" w:hAnsi="Tahoma" w:cs="Tahoma"/>
          <w:lang w:val="sr-Latn-BA"/>
        </w:rPr>
      </w:pPr>
      <w:r w:rsidRPr="00455A7D">
        <w:rPr>
          <w:rFonts w:ascii="Tahoma" w:hAnsi="Tahoma" w:cs="Tahoma"/>
          <w:lang w:val="sr-Latn-BA"/>
        </w:rPr>
        <w:t>Pješak koji namjerava preći kolovoz na mjestu na kojem ne postoji obilježeni pješački prelaz ne smije stupiti na kolovoz ako time ometa saobraćaj vozila.</w:t>
      </w:r>
    </w:p>
    <w:p w:rsidR="00195DE1" w:rsidRPr="00455A7D" w:rsidRDefault="00195DE1" w:rsidP="00455A7D">
      <w:pPr>
        <w:tabs>
          <w:tab w:val="left" w:pos="360"/>
        </w:tabs>
        <w:spacing w:after="120" w:line="216" w:lineRule="auto"/>
        <w:ind w:left="360"/>
        <w:rPr>
          <w:rFonts w:ascii="Tahoma" w:hAnsi="Tahoma" w:cs="Tahoma"/>
          <w:lang w:val="sr-Latn-BA"/>
        </w:rPr>
      </w:pPr>
      <w:r w:rsidRPr="00455A7D">
        <w:rPr>
          <w:rFonts w:ascii="Tahoma" w:hAnsi="Tahoma" w:cs="Tahoma"/>
          <w:lang w:val="sr-Latn-BA"/>
        </w:rPr>
        <w:t>Komentar: Imajući u vidu navedene odredbe</w:t>
      </w:r>
      <w:r w:rsidRPr="00455A7D">
        <w:rPr>
          <w:rStyle w:val="FootnoteReference"/>
          <w:rFonts w:ascii="Tahoma" w:hAnsi="Tahoma" w:cs="Tahoma"/>
          <w:lang w:val="sr-Latn-BA"/>
        </w:rPr>
        <w:footnoteReference w:id="11"/>
      </w:r>
      <w:r w:rsidRPr="00455A7D">
        <w:rPr>
          <w:rFonts w:ascii="Tahoma" w:hAnsi="Tahoma" w:cs="Tahoma"/>
          <w:lang w:val="sr-Latn-BA"/>
        </w:rPr>
        <w:t xml:space="preserve"> članova 105, 108 i 110 i definiciju iz član 9. stav 1. tačka 15. može se zaključiti da se vozač odnosno vozilo van pješačkog prelaza nalazi na putu sa prioritetom kretanja</w:t>
      </w:r>
      <w:r w:rsidRPr="00455A7D">
        <w:rPr>
          <w:rStyle w:val="FootnoteReference"/>
          <w:rFonts w:ascii="Tahoma" w:hAnsi="Tahoma" w:cs="Tahoma"/>
          <w:lang w:val="sr-Latn-BA"/>
        </w:rPr>
        <w:footnoteReference w:id="12"/>
      </w:r>
      <w:r w:rsidRPr="00455A7D">
        <w:rPr>
          <w:rFonts w:ascii="Tahoma" w:hAnsi="Tahoma" w:cs="Tahoma"/>
          <w:lang w:val="sr-Latn-BA"/>
        </w:rPr>
        <w:t xml:space="preserve"> u odnosu na pješaka.</w:t>
      </w:r>
    </w:p>
    <w:p w:rsidR="00195DE1" w:rsidRPr="00455A7D" w:rsidRDefault="00195DE1" w:rsidP="00011152">
      <w:pPr>
        <w:tabs>
          <w:tab w:val="left" w:pos="360"/>
        </w:tabs>
        <w:spacing w:after="120" w:line="216" w:lineRule="auto"/>
        <w:rPr>
          <w:rFonts w:ascii="Tahoma" w:hAnsi="Tahoma" w:cs="Tahoma"/>
          <w:lang w:val="sr-Latn-BA"/>
        </w:rPr>
      </w:pPr>
      <w:r w:rsidRPr="00455A7D">
        <w:rPr>
          <w:rFonts w:ascii="Tahoma" w:hAnsi="Tahoma" w:cs="Tahoma"/>
          <w:lang w:val="sr-Latn-BA"/>
        </w:rPr>
        <w:t>Svaka promjena režima kretanja vozila (kočenje, ubrzavanje, promjena saobraćajne trake...) izazvana ponašanjem odnosno stupanjem na kolovoz pješaka, uslovljena je propustima pješaka. Ako u datim okolnostima nastane saobraćajna nezgoda, onda se pouzdano može zaključiti da je ista nastala u posljedici opasne situacije koja uzrokovana nepropisnim postupanjem pješaka. S tim u vezi, sa aspekta saobraćajno tehničkog vještačenja, kod sudara vozila i pješaka van pješačkog prelaza, opasna situacija koja prethodi sudaru je uvijek izazvana ponašanjem pješaka.</w:t>
      </w:r>
    </w:p>
    <w:p w:rsidR="00195DE1" w:rsidRPr="00455A7D" w:rsidRDefault="00195DE1" w:rsidP="00011152">
      <w:pPr>
        <w:tabs>
          <w:tab w:val="left" w:pos="360"/>
        </w:tabs>
        <w:spacing w:after="120" w:line="216" w:lineRule="auto"/>
        <w:rPr>
          <w:rFonts w:ascii="Tahoma" w:hAnsi="Tahoma" w:cs="Tahoma"/>
          <w:lang w:val="sr-Latn-BA"/>
        </w:rPr>
      </w:pPr>
      <w:r w:rsidRPr="00455A7D">
        <w:rPr>
          <w:rFonts w:ascii="Tahoma" w:hAnsi="Tahoma" w:cs="Tahoma"/>
          <w:lang w:val="sr-Latn-BA"/>
        </w:rPr>
        <w:t>Ukoliko je brzina kretanja vozila u granicama dopuštene, tada je i saobraćajna nezgoda  u osnovi uzrokovana ponašanjem pješaka, stupanjem na kolovoz i time izazivanjem opasne situacije. Izuzetak od ovog pravila se pojavljuje kada su učesnici u saobraćaju djeca, invalidi, slijepa, stara i nemoćna lica, koja zakon svrstava u posebnu grupu učesnika u saobraćaju prema kojima se primjenjuje načelo ograničenog povjerenja. U tim slučajevima je neophodno analizirati da li je vozač posvetio dodatnu pažnju jer može postojati krivica istog i u slučajevima kada se kretao dozvoljenom brzinom ukoliko je na vrijeme mogao uočiti kretanje pješaka iz tih grupa. Zakonodavac se odlučio za ograničavajne povjerenja zbog individualnih karakteristika ovih učesnika.</w:t>
      </w:r>
    </w:p>
    <w:p w:rsidR="00011152" w:rsidRDefault="00195DE1" w:rsidP="00195DE1">
      <w:pPr>
        <w:tabs>
          <w:tab w:val="left" w:pos="360"/>
        </w:tabs>
        <w:spacing w:after="0" w:line="216" w:lineRule="auto"/>
        <w:rPr>
          <w:rFonts w:ascii="Tahoma" w:hAnsi="Tahoma" w:cs="Tahoma"/>
          <w:lang w:val="sr-Latn-BA"/>
        </w:rPr>
      </w:pPr>
      <w:r w:rsidRPr="00455A7D">
        <w:rPr>
          <w:rFonts w:ascii="Tahoma" w:hAnsi="Tahoma" w:cs="Tahoma"/>
          <w:lang w:val="sr-Latn-BA"/>
        </w:rPr>
        <w:t xml:space="preserve">Ukoliko je brzina kretanja vozila veća od dopuštene, tada se može diskutovati o doprinosu </w:t>
      </w:r>
      <w:r w:rsidRPr="00455A7D">
        <w:rPr>
          <w:rFonts w:ascii="Tahoma" w:hAnsi="Tahoma" w:cs="Tahoma"/>
          <w:lang w:val="sr-Latn-BA"/>
        </w:rPr>
        <w:lastRenderedPageBreak/>
        <w:t>vozača vozila nastanku saobraćajne nezgode. Naime, ako je brzina kretanja vozila u momentu nastanka opasne situacije veća od dopuštene a bezbjedna brzina manja od dopuštene, tada postoji manji doprinos vozača saobraćajne nezgode, čija veličina je značajna kod parničnog postupka. Ako je brzina kretanja vozila u momentu nastanka opasne situacije veća od dopuštene a bezbjedna brzina takođe veća od dopuštene, tada postoji podijeljena odgovornost koja je ovisna o veličini brzine kretanja vozila.</w:t>
      </w:r>
    </w:p>
    <w:p w:rsidR="00455A7D" w:rsidRDefault="00455A7D" w:rsidP="00195DE1">
      <w:pPr>
        <w:tabs>
          <w:tab w:val="left" w:pos="360"/>
        </w:tabs>
        <w:spacing w:after="0" w:line="216" w:lineRule="auto"/>
        <w:rPr>
          <w:rFonts w:ascii="Tahoma" w:hAnsi="Tahoma" w:cs="Tahoma"/>
          <w:lang w:val="sr-Latn-BA"/>
        </w:rPr>
      </w:pPr>
    </w:p>
    <w:p w:rsidR="00455A7D" w:rsidRPr="00455A7D" w:rsidRDefault="00455A7D" w:rsidP="00455A7D">
      <w:pPr>
        <w:pStyle w:val="ListParagraph"/>
        <w:numPr>
          <w:ilvl w:val="0"/>
          <w:numId w:val="20"/>
        </w:numPr>
        <w:tabs>
          <w:tab w:val="left" w:pos="360"/>
        </w:tabs>
        <w:spacing w:before="480" w:after="240" w:line="216" w:lineRule="auto"/>
        <w:ind w:left="357" w:hanging="357"/>
        <w:jc w:val="both"/>
        <w:rPr>
          <w:rFonts w:ascii="Tahoma" w:hAnsi="Tahoma" w:cs="Tahoma"/>
          <w:b/>
          <w:lang w:val="sr-Latn-BA"/>
        </w:rPr>
      </w:pPr>
      <w:r w:rsidRPr="00455A7D">
        <w:rPr>
          <w:rFonts w:ascii="Tahoma" w:hAnsi="Tahoma" w:cs="Tahoma"/>
          <w:b/>
          <w:lang w:val="sr-Latn-BA"/>
        </w:rPr>
        <w:t>ZAKLJUČAK</w:t>
      </w:r>
    </w:p>
    <w:p w:rsidR="00455A7D" w:rsidRPr="00455A7D" w:rsidRDefault="00455A7D" w:rsidP="00455A7D">
      <w:pPr>
        <w:tabs>
          <w:tab w:val="left" w:pos="360"/>
        </w:tabs>
        <w:spacing w:after="0" w:line="216" w:lineRule="auto"/>
        <w:rPr>
          <w:rFonts w:ascii="Tahoma" w:hAnsi="Tahoma" w:cs="Tahoma"/>
          <w:lang w:val="sr-Latn-BA"/>
        </w:rPr>
      </w:pPr>
      <w:r w:rsidRPr="00455A7D">
        <w:rPr>
          <w:rFonts w:ascii="Tahoma" w:hAnsi="Tahoma" w:cs="Tahoma"/>
          <w:lang w:val="sr-Latn-BA"/>
        </w:rPr>
        <w:t>Na osnovu provedene analize, u cilju formiranja mišljenja vještaka, mogu se uspostaviti sljedeći kriteriji odnosno forme:</w:t>
      </w:r>
    </w:p>
    <w:p w:rsidR="00455A7D" w:rsidRPr="00455A7D" w:rsidRDefault="00455A7D" w:rsidP="00455A7D">
      <w:pPr>
        <w:pStyle w:val="ListParagraph"/>
        <w:numPr>
          <w:ilvl w:val="0"/>
          <w:numId w:val="26"/>
        </w:numPr>
        <w:tabs>
          <w:tab w:val="left" w:pos="360"/>
        </w:tabs>
        <w:spacing w:after="0" w:line="216" w:lineRule="auto"/>
        <w:jc w:val="both"/>
        <w:rPr>
          <w:rFonts w:ascii="Tahoma" w:hAnsi="Tahoma" w:cs="Tahoma"/>
          <w:lang w:val="sr-Latn-BA"/>
        </w:rPr>
      </w:pPr>
      <w:r w:rsidRPr="00455A7D">
        <w:rPr>
          <w:rFonts w:ascii="Tahoma" w:hAnsi="Tahoma" w:cs="Tahoma"/>
          <w:lang w:val="sr-Latn-BA"/>
        </w:rPr>
        <w:t>Kod sudara vozila i pješaka u površini pješačkog prelaza ovisno o načinu regulisanja saobraćaja, jasno su propisani prioriteti u saobraćaju i pješaka i vozila, te se mišljenje može formirati na osnovu principa urušavanja međusobnog povjerenja učesnika saobraćajne nezgode.</w:t>
      </w:r>
    </w:p>
    <w:p w:rsidR="00455A7D" w:rsidRPr="00455A7D" w:rsidRDefault="00455A7D" w:rsidP="00455A7D">
      <w:pPr>
        <w:pStyle w:val="ListParagraph"/>
        <w:numPr>
          <w:ilvl w:val="0"/>
          <w:numId w:val="26"/>
        </w:numPr>
        <w:tabs>
          <w:tab w:val="left" w:pos="360"/>
        </w:tabs>
        <w:spacing w:after="0" w:line="216" w:lineRule="auto"/>
        <w:jc w:val="both"/>
        <w:rPr>
          <w:rFonts w:ascii="Tahoma" w:hAnsi="Tahoma" w:cs="Tahoma"/>
          <w:lang w:val="sr-Latn-BA"/>
        </w:rPr>
      </w:pPr>
      <w:r w:rsidRPr="00455A7D">
        <w:rPr>
          <w:rFonts w:ascii="Tahoma" w:hAnsi="Tahoma" w:cs="Tahoma"/>
          <w:lang w:val="sr-Latn-BA"/>
        </w:rPr>
        <w:t>Kod sudara vozila i pješaka van pješačkog prelaza, polazi se od toga da je vozilo uvijek na pravcu prioriteta kretanja u odnosu na pješaka član 9. stav 1. tačka 15. član 108. i član 110. ZoOBS-a na putevima Bosne i Hercegovine. U okviru navedene konstatacije, moguće je formirati različite forme mišljenja:</w:t>
      </w:r>
    </w:p>
    <w:p w:rsidR="00455A7D" w:rsidRPr="00455A7D" w:rsidRDefault="00455A7D" w:rsidP="00455A7D">
      <w:pPr>
        <w:pStyle w:val="ListParagraph"/>
        <w:numPr>
          <w:ilvl w:val="1"/>
          <w:numId w:val="26"/>
        </w:numPr>
        <w:spacing w:line="216" w:lineRule="auto"/>
        <w:jc w:val="both"/>
        <w:rPr>
          <w:rFonts w:ascii="Tahoma" w:hAnsi="Tahoma" w:cs="Tahoma"/>
          <w:lang w:val="sr-Latn-BA"/>
        </w:rPr>
      </w:pPr>
      <w:r w:rsidRPr="00455A7D">
        <w:rPr>
          <w:rFonts w:ascii="Tahoma" w:hAnsi="Tahoma" w:cs="Tahoma"/>
          <w:lang w:val="sr-Latn-BA"/>
        </w:rPr>
        <w:t>Ako je brzina kretanja vozila u granicama dopuštene, tada je i saobraćajna nezgoda  u osnovi uzrokovana ponašanjem pješaka, stupanjem na kolovoz i time izazivanjem opasne situacije koja je dovela do nastanka saobraćajne nezgode.</w:t>
      </w:r>
    </w:p>
    <w:p w:rsidR="00455A7D" w:rsidRPr="00455A7D" w:rsidRDefault="00455A7D" w:rsidP="00455A7D">
      <w:pPr>
        <w:pStyle w:val="ListParagraph"/>
        <w:numPr>
          <w:ilvl w:val="1"/>
          <w:numId w:val="26"/>
        </w:numPr>
        <w:spacing w:line="216" w:lineRule="auto"/>
        <w:jc w:val="both"/>
        <w:rPr>
          <w:rFonts w:ascii="Tahoma" w:hAnsi="Tahoma" w:cs="Tahoma"/>
          <w:lang w:val="sr-Latn-BA"/>
        </w:rPr>
      </w:pPr>
      <w:r w:rsidRPr="00455A7D">
        <w:rPr>
          <w:rFonts w:ascii="Tahoma" w:hAnsi="Tahoma" w:cs="Tahoma"/>
          <w:lang w:val="sr-Latn-BA"/>
        </w:rPr>
        <w:t>Ako je brzina kretanja vozila u momentu nastanka opasne situacije veća od dopuštene a bezbjedna brzina manja od dopuštene, tada postoji manji doprinos vozača nastanku saobraćajne nezgode, čija veličina je značajna kod vještačenja u parničnom postupku.</w:t>
      </w:r>
    </w:p>
    <w:p w:rsidR="00455A7D" w:rsidRPr="00455A7D" w:rsidRDefault="00455A7D" w:rsidP="00455A7D">
      <w:pPr>
        <w:pStyle w:val="ListParagraph"/>
        <w:numPr>
          <w:ilvl w:val="1"/>
          <w:numId w:val="26"/>
        </w:numPr>
        <w:spacing w:line="216" w:lineRule="auto"/>
        <w:jc w:val="both"/>
        <w:rPr>
          <w:rFonts w:ascii="Tahoma" w:hAnsi="Tahoma" w:cs="Tahoma"/>
          <w:lang w:val="sr-Latn-BA"/>
        </w:rPr>
      </w:pPr>
      <w:r w:rsidRPr="00455A7D">
        <w:rPr>
          <w:rFonts w:ascii="Tahoma" w:hAnsi="Tahoma" w:cs="Tahoma"/>
          <w:lang w:val="sr-Latn-BA"/>
        </w:rPr>
        <w:t>Ako je brzina kretanja vozila u momentu nastanka opasne situacije veća od dopuštene a bezbjedna brzina takođe veća od dopuštene, tada postoji podijeljena odgovornost, koja je ovisna o veličini  prekoračenja brzine kretanja vozila.</w:t>
      </w:r>
    </w:p>
    <w:p w:rsidR="00455A7D" w:rsidRPr="00455A7D" w:rsidRDefault="00455A7D" w:rsidP="00455A7D">
      <w:pPr>
        <w:tabs>
          <w:tab w:val="left" w:pos="360"/>
        </w:tabs>
        <w:spacing w:after="0" w:line="216" w:lineRule="auto"/>
        <w:ind w:left="1080"/>
        <w:rPr>
          <w:rFonts w:ascii="Tahoma" w:hAnsi="Tahoma" w:cs="Tahoma"/>
          <w:lang w:val="sr-Latn-BA"/>
        </w:rPr>
      </w:pPr>
    </w:p>
    <w:p w:rsidR="00455A7D" w:rsidRPr="00455A7D" w:rsidRDefault="00455A7D" w:rsidP="00455A7D">
      <w:pPr>
        <w:tabs>
          <w:tab w:val="left" w:pos="360"/>
        </w:tabs>
        <w:spacing w:after="0" w:line="216" w:lineRule="auto"/>
        <w:rPr>
          <w:rFonts w:ascii="Tahoma" w:hAnsi="Tahoma" w:cs="Tahoma"/>
          <w:lang w:val="sr-Latn-BA"/>
        </w:rPr>
      </w:pPr>
      <w:r w:rsidRPr="00455A7D">
        <w:rPr>
          <w:rFonts w:ascii="Tahoma" w:hAnsi="Tahoma" w:cs="Tahoma"/>
          <w:lang w:val="sr-Latn-BA"/>
        </w:rPr>
        <w:t>Ova analiza nije primjenjiva za saobraćajne nezgode kod kojih brzina vozila poprima elemente nasilničke vožnje.</w:t>
      </w:r>
      <w:r w:rsidRPr="00455A7D">
        <w:rPr>
          <w:rStyle w:val="FootnoteReference"/>
          <w:rFonts w:ascii="Tahoma" w:hAnsi="Tahoma" w:cs="Tahoma"/>
          <w:lang w:val="sr-Latn-BA"/>
        </w:rPr>
        <w:footnoteReference w:id="13"/>
      </w:r>
    </w:p>
    <w:p w:rsidR="00455A7D" w:rsidRDefault="00455A7D" w:rsidP="00455A7D">
      <w:pPr>
        <w:tabs>
          <w:tab w:val="left" w:pos="360"/>
        </w:tabs>
        <w:spacing w:after="0" w:line="216" w:lineRule="auto"/>
        <w:rPr>
          <w:rFonts w:ascii="Tahoma" w:hAnsi="Tahoma" w:cs="Tahoma"/>
          <w:lang w:val="sr-Latn-BA"/>
        </w:rPr>
      </w:pPr>
    </w:p>
    <w:p w:rsidR="00455A7D" w:rsidRDefault="00455A7D" w:rsidP="00455A7D">
      <w:pPr>
        <w:tabs>
          <w:tab w:val="left" w:pos="360"/>
        </w:tabs>
        <w:spacing w:after="0" w:line="216" w:lineRule="auto"/>
        <w:rPr>
          <w:rFonts w:ascii="Tahoma" w:hAnsi="Tahoma" w:cs="Tahoma"/>
          <w:lang w:val="sr-Latn-BA"/>
        </w:rPr>
      </w:pPr>
    </w:p>
    <w:p w:rsidR="00455A7D" w:rsidRPr="00455A7D" w:rsidRDefault="00455A7D" w:rsidP="00455A7D">
      <w:pPr>
        <w:tabs>
          <w:tab w:val="left" w:pos="360"/>
        </w:tabs>
        <w:spacing w:after="0" w:line="216" w:lineRule="auto"/>
        <w:rPr>
          <w:rFonts w:ascii="Tahoma" w:hAnsi="Tahoma" w:cs="Tahoma"/>
          <w:lang w:val="sr-Latn-BA"/>
        </w:rPr>
      </w:pPr>
    </w:p>
    <w:p w:rsidR="00455A7D" w:rsidRPr="00455A7D" w:rsidRDefault="00455A7D" w:rsidP="00455A7D">
      <w:pPr>
        <w:tabs>
          <w:tab w:val="left" w:pos="360"/>
        </w:tabs>
        <w:spacing w:after="0" w:line="216" w:lineRule="auto"/>
        <w:rPr>
          <w:rFonts w:ascii="Tahoma" w:hAnsi="Tahoma" w:cs="Tahoma"/>
          <w:lang w:val="sr-Latn-BA"/>
        </w:rPr>
      </w:pPr>
    </w:p>
    <w:p w:rsidR="00455A7D" w:rsidRDefault="00455A7D" w:rsidP="00455A7D">
      <w:pPr>
        <w:tabs>
          <w:tab w:val="left" w:pos="360"/>
        </w:tabs>
        <w:spacing w:after="0" w:line="216" w:lineRule="auto"/>
        <w:rPr>
          <w:rFonts w:ascii="Tahoma" w:hAnsi="Tahoma" w:cs="Tahoma"/>
          <w:b/>
          <w:caps/>
          <w:lang w:val="sr-Latn-BA"/>
        </w:rPr>
      </w:pPr>
      <w:r>
        <w:rPr>
          <w:rFonts w:ascii="Tahoma" w:hAnsi="Tahoma" w:cs="Tahoma"/>
          <w:b/>
          <w:caps/>
          <w:lang w:val="sr-Latn-BA"/>
        </w:rPr>
        <w:tab/>
      </w:r>
      <w:r w:rsidRPr="00455A7D">
        <w:rPr>
          <w:rFonts w:ascii="Tahoma" w:hAnsi="Tahoma" w:cs="Tahoma"/>
          <w:b/>
          <w:caps/>
          <w:lang w:val="sr-Latn-BA"/>
        </w:rPr>
        <w:t>Literatura:</w:t>
      </w:r>
    </w:p>
    <w:p w:rsidR="00455A7D" w:rsidRPr="00455A7D" w:rsidRDefault="00455A7D" w:rsidP="00455A7D">
      <w:pPr>
        <w:tabs>
          <w:tab w:val="left" w:pos="360"/>
        </w:tabs>
        <w:spacing w:after="0" w:line="216" w:lineRule="auto"/>
        <w:rPr>
          <w:rFonts w:ascii="Tahoma" w:hAnsi="Tahoma" w:cs="Tahoma"/>
          <w:b/>
          <w:caps/>
          <w:lang w:val="sr-Latn-BA"/>
        </w:rPr>
      </w:pPr>
    </w:p>
    <w:p w:rsidR="00455A7D" w:rsidRPr="00455A7D" w:rsidRDefault="00455A7D" w:rsidP="00455A7D">
      <w:pPr>
        <w:tabs>
          <w:tab w:val="left" w:pos="360"/>
        </w:tabs>
        <w:spacing w:after="120" w:line="216" w:lineRule="auto"/>
        <w:rPr>
          <w:rFonts w:ascii="Tahoma" w:hAnsi="Tahoma" w:cs="Tahoma"/>
          <w:lang w:val="sr-Latn-BA"/>
        </w:rPr>
      </w:pPr>
      <w:r w:rsidRPr="00455A7D">
        <w:rPr>
          <w:rFonts w:ascii="Tahoma" w:hAnsi="Tahoma" w:cs="Tahoma"/>
          <w:lang w:val="sr-Latn-BA"/>
        </w:rPr>
        <w:t>[1]</w:t>
      </w:r>
      <w:r w:rsidRPr="00455A7D">
        <w:rPr>
          <w:rFonts w:ascii="Tahoma" w:hAnsi="Tahoma" w:cs="Tahoma"/>
          <w:lang w:val="sr-Latn-BA"/>
        </w:rPr>
        <w:tab/>
        <w:t>Vujanić M. Definisanje metodologije izrade vremensko-prostorne analize saobraćajne nezgode tipa pješak-automobil sa posebnim osvrtom na nezgode ovog tipa u uslovima slobodnog i normalnog toka u zoni stajališta JMP, magistarski rad, 1983.g.</w:t>
      </w:r>
    </w:p>
    <w:p w:rsidR="00455A7D" w:rsidRPr="00455A7D" w:rsidRDefault="00455A7D" w:rsidP="00455A7D">
      <w:pPr>
        <w:tabs>
          <w:tab w:val="left" w:pos="360"/>
        </w:tabs>
        <w:spacing w:after="120" w:line="216" w:lineRule="auto"/>
        <w:rPr>
          <w:rFonts w:ascii="Tahoma" w:hAnsi="Tahoma" w:cs="Tahoma"/>
          <w:lang w:val="sr-Latn-BA"/>
        </w:rPr>
      </w:pPr>
      <w:r w:rsidRPr="00455A7D">
        <w:rPr>
          <w:rFonts w:ascii="Tahoma" w:hAnsi="Tahoma" w:cs="Tahoma"/>
          <w:lang w:val="sr-Latn-BA"/>
        </w:rPr>
        <w:t>[2]</w:t>
      </w:r>
      <w:r w:rsidRPr="00455A7D">
        <w:rPr>
          <w:rFonts w:ascii="Tahoma" w:hAnsi="Tahoma" w:cs="Tahoma"/>
          <w:lang w:val="sr-Latn-BA"/>
        </w:rPr>
        <w:tab/>
        <w:t>Vujanić M. i drugi Priručnik za saobraćajno tehničko vještačenje i procjenu štete na vozilima, Banja Luka, 1998. g.</w:t>
      </w:r>
    </w:p>
    <w:p w:rsidR="00455A7D" w:rsidRPr="00455A7D" w:rsidRDefault="00455A7D" w:rsidP="00455A7D">
      <w:pPr>
        <w:tabs>
          <w:tab w:val="left" w:pos="360"/>
        </w:tabs>
        <w:spacing w:after="120" w:line="216" w:lineRule="auto"/>
        <w:rPr>
          <w:rFonts w:ascii="Tahoma" w:hAnsi="Tahoma" w:cs="Tahoma"/>
          <w:lang w:val="sr-Latn-BA"/>
        </w:rPr>
      </w:pPr>
      <w:r w:rsidRPr="00455A7D">
        <w:rPr>
          <w:rFonts w:ascii="Tahoma" w:hAnsi="Tahoma" w:cs="Tahoma"/>
          <w:lang w:val="sr-Latn-BA"/>
        </w:rPr>
        <w:t>[3] Vujanić, M. i Lipovac, K.: '' Sistem kazni vozača'', Sistem obuke vozača, Zbornik radova,</w:t>
      </w:r>
    </w:p>
    <w:p w:rsidR="00195DE1" w:rsidRPr="00455A7D" w:rsidRDefault="00455A7D" w:rsidP="00455A7D">
      <w:pPr>
        <w:tabs>
          <w:tab w:val="left" w:pos="0"/>
          <w:tab w:val="left" w:pos="360"/>
        </w:tabs>
        <w:spacing w:after="120" w:line="216" w:lineRule="auto"/>
        <w:rPr>
          <w:rFonts w:ascii="Tahoma" w:hAnsi="Tahoma" w:cs="Tahoma"/>
          <w:lang w:val="sr-Latn-BA"/>
        </w:rPr>
      </w:pPr>
      <w:r w:rsidRPr="00455A7D">
        <w:rPr>
          <w:rFonts w:ascii="Tahoma" w:hAnsi="Tahoma" w:cs="Tahoma"/>
          <w:lang w:val="sr-Latn-BA"/>
        </w:rPr>
        <w:t>[4]</w:t>
      </w:r>
      <w:r w:rsidRPr="00455A7D">
        <w:rPr>
          <w:rFonts w:ascii="Tahoma" w:hAnsi="Tahoma" w:cs="Tahoma"/>
          <w:lang w:val="sr-Latn-BA"/>
        </w:rPr>
        <w:tab/>
        <w:t>Zakon o osnovama bezbjednosti saobraćaja na putevima BiH, 2007. g.</w:t>
      </w:r>
      <w:bookmarkStart w:id="0" w:name="_GoBack"/>
      <w:bookmarkEnd w:id="0"/>
    </w:p>
    <w:sectPr w:rsidR="00195DE1" w:rsidRPr="00455A7D" w:rsidSect="00BD3301">
      <w:headerReference w:type="even" r:id="rId7"/>
      <w:headerReference w:type="default" r:id="rId8"/>
      <w:footerReference w:type="default" r:id="rId9"/>
      <w:headerReference w:type="first" r:id="rId10"/>
      <w:footerReference w:type="first" r:id="rId11"/>
      <w:pgSz w:w="11907" w:h="16840" w:code="9"/>
      <w:pgMar w:top="1418" w:right="1134" w:bottom="1418" w:left="1985" w:header="851" w:footer="737" w:gutter="0"/>
      <w:pgNumType w:start="10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B63" w:rsidRDefault="00216B63">
      <w:r>
        <w:separator/>
      </w:r>
    </w:p>
  </w:endnote>
  <w:endnote w:type="continuationSeparator" w:id="0">
    <w:p w:rsidR="00216B63" w:rsidRDefault="00216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unga">
    <w:panose1 w:val="020B0502040204020203"/>
    <w:charset w:val="01"/>
    <w:family w:val="roman"/>
    <w:notTrueType/>
    <w:pitch w:val="variable"/>
  </w:font>
  <w:font w:name="Century Gothic">
    <w:panose1 w:val="020B0502020202020204"/>
    <w:charset w:val="EE"/>
    <w:family w:val="swiss"/>
    <w:pitch w:val="variable"/>
    <w:sig w:usb0="00000287" w:usb1="00000000" w:usb2="00000000" w:usb3="00000000" w:csb0="0000009F" w:csb1="00000000"/>
    <w:embedRegular r:id="rId1" w:fontKey="{3DE53141-B2A6-4BE9-88AD-1A9B0B32045F}"/>
    <w:embedBold r:id="rId2" w:fontKey="{D8BECAE6-D932-45F1-A68E-493AB63C145A}"/>
  </w:font>
  <w:font w:name="Arial Unicode MS">
    <w:panose1 w:val="020B0604020202020204"/>
    <w:charset w:val="00"/>
    <w:family w:val="roman"/>
    <w:notTrueType/>
    <w:pitch w:val="variable"/>
    <w:sig w:usb0="00000003" w:usb1="00000000" w:usb2="00000000" w:usb3="00000000" w:csb0="00000001" w:csb1="00000000"/>
  </w:font>
  <w:font w:name="81qbholgdpfugch">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embedRegular r:id="rId3" w:fontKey="{65DD6144-E84B-434C-BEDA-B6BD3834357A}"/>
    <w:embedBold r:id="rId4" w:fontKey="{A2F126A9-FAB4-4751-933D-D588D778DA93}"/>
    <w:embedItalic r:id="rId5" w:fontKey="{0D5E0DD1-2737-4312-8BC3-79CA10583BDF}"/>
    <w:embedBoldItalic r:id="rId6" w:fontKey="{EBEAC6E8-8228-414B-9B6C-2B018CF7FE8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1985"/>
      <w:gridCol w:w="567"/>
    </w:tblGrid>
    <w:tr w:rsidR="00AD2E61" w:rsidRPr="0009624D" w:rsidTr="00323F46">
      <w:trPr>
        <w:jc w:val="center"/>
      </w:trPr>
      <w:tc>
        <w:tcPr>
          <w:tcW w:w="567" w:type="dxa"/>
          <w:tcBorders>
            <w:top w:val="nil"/>
            <w:bottom w:val="double" w:sz="4" w:space="0" w:color="auto"/>
            <w:right w:val="nil"/>
          </w:tcBorders>
          <w:shd w:val="clear" w:color="auto" w:fill="auto"/>
        </w:tcPr>
        <w:p w:rsidR="00AD2E61" w:rsidRPr="0009624D" w:rsidRDefault="00AD2E61" w:rsidP="00AD2E61">
          <w:pPr>
            <w:pStyle w:val="Footer"/>
            <w:rPr>
              <w:rFonts w:ascii="Arial" w:hAnsi="Arial" w:cs="Arial"/>
              <w:sz w:val="16"/>
              <w:szCs w:val="16"/>
            </w:rPr>
          </w:pPr>
        </w:p>
      </w:tc>
      <w:tc>
        <w:tcPr>
          <w:tcW w:w="1985" w:type="dxa"/>
          <w:vMerge w:val="restart"/>
          <w:tcBorders>
            <w:top w:val="nil"/>
            <w:left w:val="nil"/>
            <w:right w:val="nil"/>
          </w:tcBorders>
          <w:shd w:val="clear" w:color="auto" w:fill="auto"/>
          <w:vAlign w:val="center"/>
        </w:tcPr>
        <w:p w:rsidR="00AD2E61" w:rsidRPr="0009624D" w:rsidRDefault="00AD2E61" w:rsidP="00AD2E61">
          <w:pPr>
            <w:pStyle w:val="Footer"/>
            <w:rPr>
              <w:rFonts w:cs="Arial"/>
            </w:rPr>
          </w:pPr>
          <w:r>
            <w:t>Banja Luka</w:t>
          </w:r>
          <w:r w:rsidRPr="0009624D">
            <w:rPr>
              <w:rFonts w:cs="Arial"/>
            </w:rPr>
            <w:t xml:space="preserve"> 2018.</w:t>
          </w:r>
        </w:p>
      </w:tc>
      <w:tc>
        <w:tcPr>
          <w:tcW w:w="567" w:type="dxa"/>
          <w:tcBorders>
            <w:top w:val="nil"/>
            <w:left w:val="nil"/>
            <w:bottom w:val="double" w:sz="4" w:space="0" w:color="auto"/>
          </w:tcBorders>
          <w:shd w:val="clear" w:color="auto" w:fill="auto"/>
        </w:tcPr>
        <w:p w:rsidR="00AD2E61" w:rsidRPr="0009624D" w:rsidRDefault="00AD2E61" w:rsidP="00AD2E61">
          <w:pPr>
            <w:pStyle w:val="Footer"/>
            <w:rPr>
              <w:rFonts w:ascii="Arial" w:hAnsi="Arial" w:cs="Arial"/>
              <w:sz w:val="16"/>
              <w:szCs w:val="16"/>
            </w:rPr>
          </w:pPr>
        </w:p>
      </w:tc>
    </w:tr>
    <w:tr w:rsidR="00AD2E61" w:rsidRPr="0009624D" w:rsidTr="00323F46">
      <w:trPr>
        <w:jc w:val="center"/>
      </w:trPr>
      <w:tc>
        <w:tcPr>
          <w:tcW w:w="567" w:type="dxa"/>
          <w:tcBorders>
            <w:top w:val="double" w:sz="4" w:space="0" w:color="auto"/>
            <w:right w:val="nil"/>
          </w:tcBorders>
          <w:shd w:val="clear" w:color="auto" w:fill="auto"/>
        </w:tcPr>
        <w:p w:rsidR="00AD2E61" w:rsidRPr="0009624D" w:rsidRDefault="00AD2E61" w:rsidP="00AD2E61">
          <w:pPr>
            <w:pStyle w:val="Footer"/>
            <w:rPr>
              <w:rFonts w:ascii="Arial" w:hAnsi="Arial" w:cs="Arial"/>
              <w:sz w:val="16"/>
              <w:szCs w:val="16"/>
            </w:rPr>
          </w:pPr>
        </w:p>
      </w:tc>
      <w:tc>
        <w:tcPr>
          <w:tcW w:w="1985" w:type="dxa"/>
          <w:vMerge/>
          <w:tcBorders>
            <w:left w:val="nil"/>
            <w:bottom w:val="nil"/>
            <w:right w:val="nil"/>
          </w:tcBorders>
          <w:shd w:val="clear" w:color="auto" w:fill="auto"/>
        </w:tcPr>
        <w:p w:rsidR="00AD2E61" w:rsidRPr="0009624D" w:rsidRDefault="00AD2E61" w:rsidP="00AD2E61">
          <w:pPr>
            <w:pStyle w:val="Footer"/>
            <w:rPr>
              <w:rFonts w:ascii="Arial" w:hAnsi="Arial" w:cs="Arial"/>
              <w:sz w:val="20"/>
              <w:szCs w:val="20"/>
            </w:rPr>
          </w:pPr>
        </w:p>
      </w:tc>
      <w:tc>
        <w:tcPr>
          <w:tcW w:w="567" w:type="dxa"/>
          <w:tcBorders>
            <w:top w:val="double" w:sz="4" w:space="0" w:color="auto"/>
            <w:left w:val="nil"/>
          </w:tcBorders>
          <w:shd w:val="clear" w:color="auto" w:fill="auto"/>
        </w:tcPr>
        <w:p w:rsidR="00AD2E61" w:rsidRPr="0009624D" w:rsidRDefault="00AD2E61" w:rsidP="00AD2E61">
          <w:pPr>
            <w:pStyle w:val="Footer"/>
            <w:rPr>
              <w:rFonts w:ascii="Arial" w:hAnsi="Arial" w:cs="Arial"/>
              <w:sz w:val="16"/>
              <w:szCs w:val="16"/>
            </w:rPr>
          </w:pPr>
        </w:p>
      </w:tc>
    </w:tr>
  </w:tbl>
  <w:p w:rsidR="00252444" w:rsidRPr="005F6724" w:rsidRDefault="00252444" w:rsidP="005F6724">
    <w:pPr>
      <w:pStyle w:val="Foote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1985"/>
      <w:gridCol w:w="567"/>
    </w:tblGrid>
    <w:tr w:rsidR="00252444" w:rsidRPr="0009624D" w:rsidTr="0009624D">
      <w:trPr>
        <w:jc w:val="center"/>
      </w:trPr>
      <w:tc>
        <w:tcPr>
          <w:tcW w:w="567" w:type="dxa"/>
          <w:tcBorders>
            <w:top w:val="nil"/>
            <w:bottom w:val="double" w:sz="4" w:space="0" w:color="auto"/>
            <w:right w:val="nil"/>
          </w:tcBorders>
          <w:shd w:val="clear" w:color="auto" w:fill="auto"/>
        </w:tcPr>
        <w:p w:rsidR="00252444" w:rsidRPr="0009624D" w:rsidRDefault="00252444" w:rsidP="005D5134">
          <w:pPr>
            <w:pStyle w:val="Footer"/>
            <w:rPr>
              <w:rFonts w:ascii="Arial" w:hAnsi="Arial" w:cs="Arial"/>
              <w:sz w:val="16"/>
              <w:szCs w:val="16"/>
            </w:rPr>
          </w:pPr>
        </w:p>
      </w:tc>
      <w:tc>
        <w:tcPr>
          <w:tcW w:w="1985" w:type="dxa"/>
          <w:vMerge w:val="restart"/>
          <w:tcBorders>
            <w:top w:val="nil"/>
            <w:left w:val="nil"/>
            <w:right w:val="nil"/>
          </w:tcBorders>
          <w:shd w:val="clear" w:color="auto" w:fill="auto"/>
          <w:vAlign w:val="center"/>
        </w:tcPr>
        <w:p w:rsidR="00252444" w:rsidRPr="0009624D" w:rsidRDefault="00252444" w:rsidP="005D5134">
          <w:pPr>
            <w:pStyle w:val="Footer"/>
            <w:rPr>
              <w:rFonts w:cs="Arial"/>
            </w:rPr>
          </w:pPr>
          <w:r>
            <w:t>Banja Luka</w:t>
          </w:r>
          <w:r w:rsidRPr="0009624D">
            <w:rPr>
              <w:rFonts w:cs="Arial"/>
            </w:rPr>
            <w:t xml:space="preserve"> 2018.</w:t>
          </w:r>
        </w:p>
      </w:tc>
      <w:tc>
        <w:tcPr>
          <w:tcW w:w="567" w:type="dxa"/>
          <w:tcBorders>
            <w:top w:val="nil"/>
            <w:left w:val="nil"/>
            <w:bottom w:val="double" w:sz="4" w:space="0" w:color="auto"/>
          </w:tcBorders>
          <w:shd w:val="clear" w:color="auto" w:fill="auto"/>
        </w:tcPr>
        <w:p w:rsidR="00252444" w:rsidRPr="0009624D" w:rsidRDefault="00252444" w:rsidP="005D5134">
          <w:pPr>
            <w:pStyle w:val="Footer"/>
            <w:rPr>
              <w:rFonts w:ascii="Arial" w:hAnsi="Arial" w:cs="Arial"/>
              <w:sz w:val="16"/>
              <w:szCs w:val="16"/>
            </w:rPr>
          </w:pPr>
        </w:p>
      </w:tc>
    </w:tr>
    <w:tr w:rsidR="00252444" w:rsidRPr="0009624D" w:rsidTr="0009624D">
      <w:trPr>
        <w:jc w:val="center"/>
      </w:trPr>
      <w:tc>
        <w:tcPr>
          <w:tcW w:w="567" w:type="dxa"/>
          <w:tcBorders>
            <w:top w:val="double" w:sz="4" w:space="0" w:color="auto"/>
            <w:right w:val="nil"/>
          </w:tcBorders>
          <w:shd w:val="clear" w:color="auto" w:fill="auto"/>
        </w:tcPr>
        <w:p w:rsidR="00252444" w:rsidRPr="0009624D" w:rsidRDefault="00252444" w:rsidP="005D5134">
          <w:pPr>
            <w:pStyle w:val="Footer"/>
            <w:rPr>
              <w:rFonts w:ascii="Arial" w:hAnsi="Arial" w:cs="Arial"/>
              <w:sz w:val="16"/>
              <w:szCs w:val="16"/>
            </w:rPr>
          </w:pPr>
        </w:p>
      </w:tc>
      <w:tc>
        <w:tcPr>
          <w:tcW w:w="1985" w:type="dxa"/>
          <w:vMerge/>
          <w:tcBorders>
            <w:left w:val="nil"/>
            <w:bottom w:val="nil"/>
            <w:right w:val="nil"/>
          </w:tcBorders>
          <w:shd w:val="clear" w:color="auto" w:fill="auto"/>
        </w:tcPr>
        <w:p w:rsidR="00252444" w:rsidRPr="0009624D" w:rsidRDefault="00252444" w:rsidP="005D5134">
          <w:pPr>
            <w:pStyle w:val="Footer"/>
            <w:rPr>
              <w:rFonts w:ascii="Arial" w:hAnsi="Arial" w:cs="Arial"/>
              <w:sz w:val="20"/>
              <w:szCs w:val="20"/>
            </w:rPr>
          </w:pPr>
        </w:p>
      </w:tc>
      <w:tc>
        <w:tcPr>
          <w:tcW w:w="567" w:type="dxa"/>
          <w:tcBorders>
            <w:top w:val="double" w:sz="4" w:space="0" w:color="auto"/>
            <w:left w:val="nil"/>
          </w:tcBorders>
          <w:shd w:val="clear" w:color="auto" w:fill="auto"/>
        </w:tcPr>
        <w:p w:rsidR="00252444" w:rsidRPr="0009624D" w:rsidRDefault="00252444" w:rsidP="005D5134">
          <w:pPr>
            <w:pStyle w:val="Footer"/>
            <w:rPr>
              <w:rFonts w:ascii="Arial" w:hAnsi="Arial" w:cs="Arial"/>
              <w:sz w:val="16"/>
              <w:szCs w:val="16"/>
            </w:rPr>
          </w:pPr>
        </w:p>
      </w:tc>
    </w:tr>
  </w:tbl>
  <w:p w:rsidR="00252444" w:rsidRPr="00B1015A" w:rsidRDefault="00252444" w:rsidP="00B1015A">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B63" w:rsidRDefault="00216B63" w:rsidP="00C01EBF">
      <w:pPr>
        <w:spacing w:after="0"/>
      </w:pPr>
      <w:r>
        <w:separator/>
      </w:r>
    </w:p>
  </w:footnote>
  <w:footnote w:type="continuationSeparator" w:id="0">
    <w:p w:rsidR="00216B63" w:rsidRDefault="00216B63">
      <w:r>
        <w:continuationSeparator/>
      </w:r>
    </w:p>
  </w:footnote>
  <w:footnote w:id="1">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Panevropski Univerzitet Apeiron, Saobraćajni fakultet, Banja Luka</w:t>
      </w:r>
    </w:p>
  </w:footnote>
  <w:footnote w:id="2">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Fakultet za saobraćaj, komunikacije i logistiku, Budva</w:t>
      </w:r>
    </w:p>
  </w:footnote>
  <w:footnote w:id="3">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Advokatska kancelarija Dragan Stanišić, Banja Luka</w:t>
      </w:r>
    </w:p>
  </w:footnote>
  <w:footnote w:id="4">
    <w:p w:rsidR="00195DE1" w:rsidRPr="00573368" w:rsidRDefault="00195DE1" w:rsidP="00195DE1">
      <w:pPr>
        <w:pStyle w:val="FootnoteText"/>
        <w:rPr>
          <w:noProof/>
          <w:lang w:val="sr-Latn-BA"/>
        </w:rPr>
      </w:pPr>
    </w:p>
  </w:footnote>
  <w:footnote w:id="5">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[1]Vujanić M. Definisanje metodologije izrade vremensko-prostorne analize saobraćajne nezgode tipa pješak-automobil sa posebnim osvrtom na nezgode ovog tipa u uslovima slobodnog i normalnog toka u zoni stajališta JMP, magistarski rad, 1983.g.</w:t>
      </w:r>
    </w:p>
  </w:footnote>
  <w:footnote w:id="6">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[3] Vujanić, M. i Lipovac, K.: '' Sistem kazni vozača'', Sistem obuke vozača, Zbornik radova,</w:t>
      </w:r>
    </w:p>
    <w:p w:rsidR="00195DE1" w:rsidRPr="00573368" w:rsidRDefault="00195DE1" w:rsidP="00195DE1">
      <w:pPr>
        <w:pStyle w:val="FootnoteText"/>
        <w:rPr>
          <w:noProof/>
          <w:lang w:val="sr-Latn-BA"/>
        </w:rPr>
      </w:pPr>
    </w:p>
  </w:footnote>
  <w:footnote w:id="7">
    <w:p w:rsidR="00195DE1" w:rsidRPr="00573368" w:rsidRDefault="00195DE1" w:rsidP="00195DE1">
      <w:pPr>
        <w:pStyle w:val="FootnoteText"/>
        <w:rPr>
          <w:noProof/>
          <w:lang w:val="sr-Latn-BA"/>
        </w:rPr>
      </w:pPr>
    </w:p>
  </w:footnote>
  <w:footnote w:id="8">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[1]Vujanić M. Definisanje metodologije izrade vremensko-prostorne analize saobraćajne nezgode tipa pješak-automobil sa posebnim osvrtom na nezgode ovog tipa u uslovima slobodnog i normalnog toka u zoni stajališta JMP, magistarski rad, 1983.g.</w:t>
      </w:r>
    </w:p>
  </w:footnote>
  <w:footnote w:id="9">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[2]Vujanić M. i drugi Priručnik za saobraćajno tehničko vještačenje i procjenu štete na vozilima, B. Luka, 1998. g.</w:t>
      </w:r>
    </w:p>
  </w:footnote>
  <w:footnote w:id="10">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[4]Zakon o osnovama bezbjednosti saobraćaja na putevima BiH, 2007. g.</w:t>
      </w:r>
    </w:p>
  </w:footnote>
  <w:footnote w:id="11">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[4]Zakon o osnovama bezbjednosti saobraćaja na putevima BiH, 2007. g.</w:t>
      </w:r>
    </w:p>
  </w:footnote>
  <w:footnote w:id="12">
    <w:p w:rsidR="00195DE1" w:rsidRPr="00573368" w:rsidRDefault="00195DE1" w:rsidP="00195DE1">
      <w:pPr>
        <w:pStyle w:val="FootnoteText"/>
        <w:rPr>
          <w:noProof/>
          <w:lang w:val="sr-Latn-BA"/>
        </w:rPr>
      </w:pPr>
      <w:r w:rsidRPr="00573368">
        <w:rPr>
          <w:rStyle w:val="FootnoteReference"/>
          <w:noProof/>
          <w:lang w:val="sr-Latn-BA"/>
        </w:rPr>
        <w:footnoteRef/>
      </w:r>
      <w:r w:rsidRPr="00573368">
        <w:rPr>
          <w:noProof/>
          <w:lang w:val="sr-Latn-BA"/>
        </w:rPr>
        <w:t xml:space="preserve"> [1]Vujanić M. Definisanje metodologije izrade vremensko-prostorne analize saobraćajne nezgode tipa pješak-automobil sa posebnim osvrtom na nezgode ovog tipa u uslovima slobodnog i normalnog toka u zoni stajališta JMP, magistarski rad, 1983.g.</w:t>
      </w:r>
    </w:p>
    <w:p w:rsidR="00195DE1" w:rsidRPr="00573368" w:rsidRDefault="00195DE1" w:rsidP="00195DE1">
      <w:pPr>
        <w:pStyle w:val="FootnoteText"/>
        <w:rPr>
          <w:noProof/>
          <w:lang w:val="sr-Latn-BA"/>
        </w:rPr>
      </w:pPr>
    </w:p>
  </w:footnote>
  <w:footnote w:id="13">
    <w:p w:rsidR="00455A7D" w:rsidRPr="004900DE" w:rsidRDefault="00455A7D" w:rsidP="00455A7D">
      <w:pPr>
        <w:pStyle w:val="FootnoteText"/>
      </w:pPr>
      <w:r>
        <w:rPr>
          <w:rStyle w:val="FootnoteReference"/>
        </w:rPr>
        <w:footnoteRef/>
      </w:r>
      <w:r>
        <w:t xml:space="preserve"> Član 41. Zakona o bezbjednosti saobracaja na putevima Republike Srpske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444" w:rsidRDefault="00252444" w:rsidP="002F290A">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52444" w:rsidRDefault="00252444" w:rsidP="00C70595">
    <w:pPr>
      <w:pStyle w:val="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E61" w:rsidRDefault="00AD2E61">
    <w:pPr>
      <w:pStyle w:val="Header"/>
      <w:rPr>
        <w:noProof/>
      </w:rPr>
    </w:pPr>
    <w:r>
      <w:fldChar w:fldCharType="begin"/>
    </w:r>
    <w:r>
      <w:instrText xml:space="preserve"> PAGE   \* MERGEFORMAT </w:instrText>
    </w:r>
    <w:r>
      <w:fldChar w:fldCharType="separate"/>
    </w:r>
    <w:r w:rsidR="008514CA">
      <w:rPr>
        <w:noProof/>
      </w:rPr>
      <w:t>112</w:t>
    </w:r>
    <w:r>
      <w:rPr>
        <w:noProof/>
      </w:rPr>
      <w:fldChar w:fldCharType="end"/>
    </w:r>
  </w:p>
  <w:p w:rsidR="00AD2E61" w:rsidRDefault="00AD2E61" w:rsidP="00AD2E61">
    <w:pPr>
      <w:pStyle w:val="Header"/>
      <w:pBdr>
        <w:bottom w:val="single" w:sz="4" w:space="1" w:color="auto"/>
      </w:pBdr>
    </w:pPr>
    <w:r w:rsidRPr="00A70AC2">
      <w:t>X</w:t>
    </w:r>
    <w:r>
      <w:t>VI</w:t>
    </w:r>
    <w:r w:rsidRPr="00A70AC2">
      <w:t>I Simpozijum ''</w:t>
    </w:r>
    <w:r>
      <w:t>Vještačenje</w:t>
    </w:r>
    <w:r w:rsidRPr="00A70AC2">
      <w:t xml:space="preserve"> saobraćajnih nezgoda i prevare u osiguranju''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2444" w:rsidRDefault="00CF5499" w:rsidP="00B5237C">
    <w:pPr>
      <w:pStyle w:val="Header"/>
    </w:pPr>
    <w:r>
      <w:rPr>
        <w:noProof/>
        <w:lang w:val="bs-Latn-BA" w:eastAsia="bs-Latn-BA"/>
      </w:rPr>
      <mc:AlternateContent>
        <mc:Choice Requires="wps">
          <w:drawing>
            <wp:anchor distT="36576" distB="36576" distL="36576" distR="36576" simplePos="0" relativeHeight="251656704" behindDoc="0" locked="0" layoutInCell="1" allowOverlap="1">
              <wp:simplePos x="0" y="0"/>
              <wp:positionH relativeFrom="page">
                <wp:posOffset>1260475</wp:posOffset>
              </wp:positionH>
              <wp:positionV relativeFrom="page">
                <wp:posOffset>698500</wp:posOffset>
              </wp:positionV>
              <wp:extent cx="1800225" cy="8524875"/>
              <wp:effectExtent l="0" t="0" r="0" b="0"/>
              <wp:wrapNone/>
              <wp:docPr id="3" name="Rectangle 1" descr="Light upward diagon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800225" cy="8524875"/>
                      </a:xfrm>
                      <a:prstGeom prst="rect">
                        <a:avLst/>
                      </a:prstGeom>
                      <a:pattFill prst="ltUpDiag">
                        <a:fgClr>
                          <a:srgbClr val="808080"/>
                        </a:fgClr>
                        <a:bgClr>
                          <a:srgbClr val="FFFFFF"/>
                        </a:bgClr>
                      </a:patt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58B4D" id="Rectangle 1" o:spid="_x0000_s1026" alt="Light upward diagonal" style="position:absolute;margin-left:99.25pt;margin-top:55pt;width:141.75pt;height:671.25pt;z-index:2516567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" fillcolor="gray" stroked="f" strokeweight="0" insetpen="t">
              <v:fill r:id="rId1" o:title="" type="pattern"/>
              <v:shadow color="#ccc"/>
              <o:lock v:ext="edit" shapetype="t"/>
              <v:textbox inset="2.88pt,2.88pt,2.88pt,2.88pt"/>
              <w10:wrap anchorx="page" anchory="page"/>
            </v:rect>
          </w:pict>
        </mc:Fallback>
      </mc:AlternateContent>
    </w:r>
    <w:r>
      <w:rPr>
        <w:noProof/>
        <w:lang w:val="bs-Latn-BA" w:eastAsia="bs-Latn-BA"/>
      </w:rPr>
      <mc:AlternateContent>
        <mc:Choice Requires="wps">
          <w:drawing>
            <wp:anchor distT="36576" distB="36576" distL="36576" distR="36576" simplePos="0" relativeHeight="251658752" behindDoc="0" locked="1" layoutInCell="1" allowOverlap="1">
              <wp:simplePos x="0" y="0"/>
              <wp:positionH relativeFrom="page">
                <wp:posOffset>-403225</wp:posOffset>
              </wp:positionH>
              <wp:positionV relativeFrom="page">
                <wp:posOffset>5724525</wp:posOffset>
              </wp:positionV>
              <wp:extent cx="5108575" cy="982980"/>
              <wp:effectExtent l="5398"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rot="16200000">
                        <a:off x="0" y="0"/>
                        <a:ext cx="5108575" cy="982980"/>
                      </a:xfrm>
                      <a:prstGeom prst="roundRect">
                        <a:avLst>
                          <a:gd name="adj" fmla="val 50000"/>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252444" w:rsidRPr="00F2009C" w:rsidRDefault="00252444" w:rsidP="00F951E8">
                          <w:pPr>
                            <w:ind w:left="284" w:right="284"/>
                            <w:jc w:val="center"/>
                            <w:rPr>
                              <w:b/>
                              <w:color w:val="808080"/>
                            </w:rPr>
                          </w:pPr>
                          <w:r w:rsidRPr="00F2009C">
                            <w:rPr>
                              <w:rFonts w:ascii="Century Gothic" w:hAnsi="Century Gothic" w:cs="Tahoma"/>
                              <w:b/>
                              <w:color w:val="808080"/>
                            </w:rPr>
                            <w:t>X</w:t>
                          </w:r>
                          <w:r>
                            <w:rPr>
                              <w:rFonts w:ascii="Century Gothic" w:hAnsi="Century Gothic" w:cs="Tahoma"/>
                              <w:b/>
                              <w:color w:val="808080"/>
                            </w:rPr>
                            <w:t>V</w:t>
                          </w:r>
                          <w:r w:rsidRPr="00F2009C">
                            <w:rPr>
                              <w:rFonts w:ascii="Century Gothic" w:hAnsi="Century Gothic" w:cs="Tahoma"/>
                              <w:b/>
                              <w:color w:val="808080"/>
                            </w:rPr>
                            <w:t>I</w:t>
                          </w:r>
                          <w:r>
                            <w:rPr>
                              <w:rFonts w:ascii="Century Gothic" w:hAnsi="Century Gothic" w:cs="Tahoma"/>
                              <w:b/>
                              <w:color w:val="808080"/>
                            </w:rPr>
                            <w:t>I</w:t>
                          </w:r>
                          <w:r w:rsidRPr="00F2009C">
                            <w:rPr>
                              <w:rFonts w:ascii="Century Gothic" w:hAnsi="Century Gothic" w:cs="Tahoma"/>
                              <w:b/>
                              <w:color w:val="808080"/>
                            </w:rPr>
                            <w:t xml:space="preserve"> Simpozijum </w:t>
                          </w:r>
                          <w:r w:rsidRPr="00F2009C">
                            <w:rPr>
                              <w:rFonts w:ascii="Century Gothic" w:hAnsi="Century Gothic" w:cs="Tahoma"/>
                              <w:b/>
                              <w:color w:val="808080"/>
                            </w:rPr>
                            <w:br/>
                            <w:t>"</w:t>
                          </w:r>
                          <w:r>
                            <w:rPr>
                              <w:rFonts w:ascii="Century Gothic" w:hAnsi="Century Gothic" w:cs="Tahoma"/>
                              <w:b/>
                              <w:color w:val="808080"/>
                            </w:rPr>
                            <w:t>Vještačenje</w:t>
                          </w:r>
                          <w:r w:rsidRPr="00F2009C">
                            <w:rPr>
                              <w:rFonts w:ascii="Century Gothic" w:hAnsi="Century Gothic" w:cs="Tahoma"/>
                              <w:b/>
                              <w:color w:val="808080"/>
                            </w:rPr>
                            <w:t xml:space="preserve"> saobraćajnih nezgoda</w:t>
                          </w:r>
                          <w:r w:rsidRPr="00F2009C">
                            <w:rPr>
                              <w:rFonts w:ascii="Century Gothic" w:hAnsi="Century Gothic" w:cs="Tahoma"/>
                              <w:b/>
                              <w:color w:val="808080"/>
                            </w:rPr>
                            <w:br/>
                            <w:t>i prevare u osiguranju"</w:t>
                          </w:r>
                        </w:p>
                      </w:txbxContent>
                    </wps:txbx>
                    <wps:bodyPr rot="0" vert="vert270"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31.75pt;margin-top:450.75pt;width:402.25pt;height:77.4pt;rotation:-90;z-index:2516587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" stroked="f" strokeweight="0" insetpen="t">
              <v:shadow color="#ccc"/>
              <o:lock v:ext="edit" shapetype="t"/>
              <v:textbox style="layout-flow:vertical;mso-layout-flow-alt:bottom-to-top" inset="2.88pt,2.88pt,2.88pt,2.88pt">
                <w:txbxContent>
                  <w:p w:rsidR="00252444" w:rsidRPr="00F2009C" w:rsidRDefault="00252444" w:rsidP="00F951E8">
                    <w:pPr>
                      <w:ind w:left="284" w:right="284"/>
                      <w:jc w:val="center"/>
                      <w:rPr>
                        <w:b/>
                        <w:color w:val="808080"/>
                      </w:rPr>
                    </w:pPr>
                    <w:r w:rsidRPr="00F2009C">
                      <w:rPr>
                        <w:rFonts w:ascii="Century Gothic" w:hAnsi="Century Gothic" w:cs="Tahoma"/>
                        <w:b/>
                        <w:color w:val="808080"/>
                      </w:rPr>
                      <w:t>X</w:t>
                    </w:r>
                    <w:r>
                      <w:rPr>
                        <w:rFonts w:ascii="Century Gothic" w:hAnsi="Century Gothic" w:cs="Tahoma"/>
                        <w:b/>
                        <w:color w:val="808080"/>
                      </w:rPr>
                      <w:t>V</w:t>
                    </w:r>
                    <w:r w:rsidRPr="00F2009C">
                      <w:rPr>
                        <w:rFonts w:ascii="Century Gothic" w:hAnsi="Century Gothic" w:cs="Tahoma"/>
                        <w:b/>
                        <w:color w:val="808080"/>
                      </w:rPr>
                      <w:t>I</w:t>
                    </w:r>
                    <w:r>
                      <w:rPr>
                        <w:rFonts w:ascii="Century Gothic" w:hAnsi="Century Gothic" w:cs="Tahoma"/>
                        <w:b/>
                        <w:color w:val="808080"/>
                      </w:rPr>
                      <w:t>I</w:t>
                    </w:r>
                    <w:r w:rsidRPr="00F2009C">
                      <w:rPr>
                        <w:rFonts w:ascii="Century Gothic" w:hAnsi="Century Gothic" w:cs="Tahoma"/>
                        <w:b/>
                        <w:color w:val="808080"/>
                      </w:rPr>
                      <w:t xml:space="preserve"> Simpozijum </w:t>
                    </w:r>
                    <w:r w:rsidRPr="00F2009C">
                      <w:rPr>
                        <w:rFonts w:ascii="Century Gothic" w:hAnsi="Century Gothic" w:cs="Tahoma"/>
                        <w:b/>
                        <w:color w:val="808080"/>
                      </w:rPr>
                      <w:br/>
                      <w:t>"</w:t>
                    </w:r>
                    <w:r>
                      <w:rPr>
                        <w:rFonts w:ascii="Century Gothic" w:hAnsi="Century Gothic" w:cs="Tahoma"/>
                        <w:b/>
                        <w:color w:val="808080"/>
                      </w:rPr>
                      <w:t>Vještačenje</w:t>
                    </w:r>
                    <w:r w:rsidRPr="00F2009C">
                      <w:rPr>
                        <w:rFonts w:ascii="Century Gothic" w:hAnsi="Century Gothic" w:cs="Tahoma"/>
                        <w:b/>
                        <w:color w:val="808080"/>
                      </w:rPr>
                      <w:t xml:space="preserve"> saobraćajnih nezgoda</w:t>
                    </w:r>
                    <w:r w:rsidRPr="00F2009C">
                      <w:rPr>
                        <w:rFonts w:ascii="Century Gothic" w:hAnsi="Century Gothic" w:cs="Tahoma"/>
                        <w:b/>
                        <w:color w:val="808080"/>
                      </w:rPr>
                      <w:br/>
                      <w:t>i prevare u osiguranju"</w:t>
                    </w:r>
                  </w:p>
                </w:txbxContent>
              </v:textbox>
              <w10:wrap anchorx="page" anchory="page"/>
              <w10:anchorlock/>
            </v:roundrect>
          </w:pict>
        </mc:Fallback>
      </mc:AlternateContent>
    </w:r>
    <w:r>
      <w:rPr>
        <w:noProof/>
        <w:lang w:val="bs-Latn-BA" w:eastAsia="bs-Latn-BA"/>
      </w:rPr>
      <mc:AlternateContent>
        <mc:Choice Requires="wps">
          <w:drawing>
            <wp:anchor distT="36576" distB="36576" distL="36576" distR="36576" simplePos="0" relativeHeight="251657728" behindDoc="0" locked="0" layoutInCell="1" allowOverlap="1">
              <wp:simplePos x="0" y="0"/>
              <wp:positionH relativeFrom="page">
                <wp:posOffset>1591945</wp:posOffset>
              </wp:positionH>
              <wp:positionV relativeFrom="page">
                <wp:posOffset>2719705</wp:posOffset>
              </wp:positionV>
              <wp:extent cx="5255895" cy="23749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55895" cy="237490"/>
                      </a:xfrm>
                      <a:prstGeom prst="roundRect">
                        <a:avLst>
                          <a:gd name="adj" fmla="val 50000"/>
                        </a:avLst>
                      </a:prstGeom>
                      <a:solidFill>
                        <a:srgbClr val="C0C0C0"/>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4524B4" id="AutoShape 2" o:spid="_x0000_s1026" style="position:absolute;margin-left:125.35pt;margin-top:214.15pt;width:413.85pt;height:18.7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" fillcolor="silver" stroked="f" strokeweight="0" insetpen="t">
              <v:shadow color="#ccc"/>
              <o:lock v:ext="edit" shapetype="t"/>
              <v:textbox inset="2.88pt,2.88pt,2.88pt,2.88pt"/>
              <w10:wrap anchorx="page" anchory="page"/>
            </v:round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38786E"/>
    <w:lvl w:ilvl="0">
      <w:numFmt w:val="bullet"/>
      <w:lvlText w:val="*"/>
      <w:lvlJc w:val="left"/>
    </w:lvl>
  </w:abstractNum>
  <w:abstractNum w:abstractNumId="1" w15:restartNumberingAfterBreak="0">
    <w:nsid w:val="06E81CE2"/>
    <w:multiLevelType w:val="hybridMultilevel"/>
    <w:tmpl w:val="5AFE4366"/>
    <w:lvl w:ilvl="0" w:tplc="04090005">
      <w:start w:val="1"/>
      <w:numFmt w:val="bullet"/>
      <w:lvlText w:val=""/>
      <w:lvlJc w:val="left"/>
      <w:pPr>
        <w:ind w:left="720" w:hanging="360"/>
      </w:pPr>
      <w:rPr>
        <w:rFonts w:ascii="Wingdings" w:hAnsi="Wingdings"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0C362DB5"/>
    <w:multiLevelType w:val="hybridMultilevel"/>
    <w:tmpl w:val="6F78E3A0"/>
    <w:lvl w:ilvl="0" w:tplc="241A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15:restartNumberingAfterBreak="0">
    <w:nsid w:val="126025F6"/>
    <w:multiLevelType w:val="hybridMultilevel"/>
    <w:tmpl w:val="F34AF9FE"/>
    <w:lvl w:ilvl="0" w:tplc="181A000F">
      <w:start w:val="1"/>
      <w:numFmt w:val="decimal"/>
      <w:lvlText w:val="%1."/>
      <w:lvlJc w:val="left"/>
      <w:pPr>
        <w:ind w:left="720" w:hanging="360"/>
      </w:p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4" w15:restartNumberingAfterBreak="0">
    <w:nsid w:val="1B774F64"/>
    <w:multiLevelType w:val="multilevel"/>
    <w:tmpl w:val="AE44FC2E"/>
    <w:lvl w:ilvl="0">
      <w:start w:val="1"/>
      <w:numFmt w:val="decimal"/>
      <w:pStyle w:val="Heading1"/>
      <w:lvlText w:val="%1."/>
      <w:lvlJc w:val="left"/>
      <w:pPr>
        <w:tabs>
          <w:tab w:val="num" w:pos="397"/>
        </w:tabs>
        <w:ind w:left="397" w:hanging="39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737"/>
        </w:tabs>
        <w:ind w:left="737" w:hanging="737"/>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5" w15:restartNumberingAfterBreak="0">
    <w:nsid w:val="1FE42E5F"/>
    <w:multiLevelType w:val="multilevel"/>
    <w:tmpl w:val="04090023"/>
    <w:name w:val="Naslovi5"/>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30143B0D"/>
    <w:multiLevelType w:val="hybridMultilevel"/>
    <w:tmpl w:val="55A28622"/>
    <w:lvl w:ilvl="0" w:tplc="241A0001">
      <w:start w:val="1"/>
      <w:numFmt w:val="bullet"/>
      <w:lvlText w:val=""/>
      <w:lvlJc w:val="left"/>
      <w:pPr>
        <w:ind w:left="720" w:hanging="360"/>
      </w:pPr>
      <w:rPr>
        <w:rFonts w:ascii="Symbol" w:hAnsi="Symbo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7" w15:restartNumberingAfterBreak="0">
    <w:nsid w:val="33532852"/>
    <w:multiLevelType w:val="hybridMultilevel"/>
    <w:tmpl w:val="27E839EA"/>
    <w:lvl w:ilvl="0" w:tplc="241A000F">
      <w:start w:val="1"/>
      <w:numFmt w:val="decimal"/>
      <w:lvlText w:val="%1."/>
      <w:lvlJc w:val="left"/>
      <w:pPr>
        <w:ind w:left="720" w:hanging="360"/>
      </w:pPr>
    </w:lvl>
    <w:lvl w:ilvl="1" w:tplc="241A0019">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start w:val="1"/>
      <w:numFmt w:val="lowerLetter"/>
      <w:lvlText w:val="%5."/>
      <w:lvlJc w:val="left"/>
      <w:pPr>
        <w:ind w:left="3600" w:hanging="360"/>
      </w:pPr>
    </w:lvl>
    <w:lvl w:ilvl="5" w:tplc="241A001B">
      <w:start w:val="1"/>
      <w:numFmt w:val="lowerRoman"/>
      <w:lvlText w:val="%6."/>
      <w:lvlJc w:val="right"/>
      <w:pPr>
        <w:ind w:left="4320" w:hanging="180"/>
      </w:pPr>
    </w:lvl>
    <w:lvl w:ilvl="6" w:tplc="241A000F">
      <w:start w:val="1"/>
      <w:numFmt w:val="decimal"/>
      <w:lvlText w:val="%7."/>
      <w:lvlJc w:val="left"/>
      <w:pPr>
        <w:ind w:left="5040" w:hanging="360"/>
      </w:pPr>
    </w:lvl>
    <w:lvl w:ilvl="7" w:tplc="241A0019">
      <w:start w:val="1"/>
      <w:numFmt w:val="lowerLetter"/>
      <w:lvlText w:val="%8."/>
      <w:lvlJc w:val="left"/>
      <w:pPr>
        <w:ind w:left="5760" w:hanging="360"/>
      </w:pPr>
    </w:lvl>
    <w:lvl w:ilvl="8" w:tplc="241A001B">
      <w:start w:val="1"/>
      <w:numFmt w:val="lowerRoman"/>
      <w:lvlText w:val="%9."/>
      <w:lvlJc w:val="right"/>
      <w:pPr>
        <w:ind w:left="6480" w:hanging="180"/>
      </w:pPr>
    </w:lvl>
  </w:abstractNum>
  <w:abstractNum w:abstractNumId="8" w15:restartNumberingAfterBreak="0">
    <w:nsid w:val="34207292"/>
    <w:multiLevelType w:val="multilevel"/>
    <w:tmpl w:val="6E760B9C"/>
    <w:lvl w:ilvl="0">
      <w:start w:val="1"/>
      <w:numFmt w:val="russianLower"/>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9" w15:restartNumberingAfterBreak="0">
    <w:nsid w:val="379D4DC6"/>
    <w:multiLevelType w:val="multilevel"/>
    <w:tmpl w:val="0409001D"/>
    <w:name w:val="Naslovi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F8C2439"/>
    <w:multiLevelType w:val="multilevel"/>
    <w:tmpl w:val="C51E92FA"/>
    <w:name w:val="Naslovi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0"/>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040147E"/>
    <w:multiLevelType w:val="multilevel"/>
    <w:tmpl w:val="65F0FECC"/>
    <w:lvl w:ilvl="0">
      <w:start w:val="1"/>
      <w:numFmt w:val="decimal"/>
      <w:pStyle w:val="Literatura"/>
      <w:lvlText w:val="[%1]"/>
      <w:lvlJc w:val="left"/>
      <w:pPr>
        <w:tabs>
          <w:tab w:val="num" w:pos="454"/>
        </w:tabs>
        <w:ind w:left="454" w:hanging="454"/>
      </w:pPr>
      <w:rPr>
        <w:rFonts w:hint="default"/>
        <w:color w:val="auto"/>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49B8632C"/>
    <w:multiLevelType w:val="multilevel"/>
    <w:tmpl w:val="B3EACF22"/>
    <w:lvl w:ilvl="0">
      <w:start w:val="1"/>
      <w:numFmt w:val="decimal"/>
      <w:lvlText w:val="%1."/>
      <w:lvlJc w:val="left"/>
      <w:pPr>
        <w:tabs>
          <w:tab w:val="num" w:pos="340"/>
        </w:tabs>
        <w:ind w:left="680" w:hanging="340"/>
      </w:pPr>
      <w:rPr>
        <w:rFonts w:ascii="Tunga" w:hAnsi="Tunga"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BC03B2A"/>
    <w:multiLevelType w:val="multilevel"/>
    <w:tmpl w:val="0409001F"/>
    <w:name w:val="Naslovi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4BD850FF"/>
    <w:multiLevelType w:val="hybridMultilevel"/>
    <w:tmpl w:val="21BA4B6C"/>
    <w:lvl w:ilvl="0" w:tplc="04090011">
      <w:start w:val="1"/>
      <w:numFmt w:val="decimal"/>
      <w:lvlText w:val="%1)"/>
      <w:lvlJc w:val="left"/>
      <w:pPr>
        <w:ind w:left="1080" w:hanging="360"/>
      </w:p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15" w15:restartNumberingAfterBreak="0">
    <w:nsid w:val="4D4A4E54"/>
    <w:multiLevelType w:val="multilevel"/>
    <w:tmpl w:val="0409001F"/>
    <w:name w:val="Naslovi4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4E48653E"/>
    <w:multiLevelType w:val="hybridMultilevel"/>
    <w:tmpl w:val="DCA40D8A"/>
    <w:lvl w:ilvl="0" w:tplc="B18CF67E">
      <w:start w:val="1"/>
      <w:numFmt w:val="decimal"/>
      <w:pStyle w:val="Nabrajanjebrojevi"/>
      <w:lvlText w:val="%1."/>
      <w:lvlJc w:val="left"/>
      <w:pPr>
        <w:tabs>
          <w:tab w:val="num" w:pos="340"/>
        </w:tabs>
        <w:ind w:left="680" w:hanging="340"/>
      </w:pPr>
      <w:rPr>
        <w:rFonts w:ascii="Arial" w:hAnsi="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3D4020"/>
    <w:multiLevelType w:val="multilevel"/>
    <w:tmpl w:val="04090023"/>
    <w:name w:val="Naslovi4222"/>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26B136C"/>
    <w:multiLevelType w:val="multilevel"/>
    <w:tmpl w:val="0409001D"/>
    <w:name w:val="Naslovi4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295712F"/>
    <w:multiLevelType w:val="multilevel"/>
    <w:tmpl w:val="592A213E"/>
    <w:lvl w:ilvl="0">
      <w:start w:val="1"/>
      <w:numFmt w:val="lowerLetter"/>
      <w:pStyle w:val="nabrajanjeslova"/>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abstractNum w:abstractNumId="20" w15:restartNumberingAfterBreak="0">
    <w:nsid w:val="54AA35BB"/>
    <w:multiLevelType w:val="hybridMultilevel"/>
    <w:tmpl w:val="335C9BA4"/>
    <w:lvl w:ilvl="0" w:tplc="0EDECD7E">
      <w:numFmt w:val="bullet"/>
      <w:lvlText w:val="-"/>
      <w:lvlJc w:val="left"/>
      <w:pPr>
        <w:ind w:left="780" w:hanging="360"/>
      </w:pPr>
      <w:rPr>
        <w:rFonts w:ascii="Arial" w:eastAsia="Arial" w:hAnsi="Arial" w:cs="Arial" w:hint="default"/>
        <w:w w:val="99"/>
        <w:sz w:val="20"/>
        <w:szCs w:val="20"/>
      </w:rPr>
    </w:lvl>
    <w:lvl w:ilvl="1" w:tplc="181A0003" w:tentative="1">
      <w:start w:val="1"/>
      <w:numFmt w:val="bullet"/>
      <w:lvlText w:val="o"/>
      <w:lvlJc w:val="left"/>
      <w:pPr>
        <w:ind w:left="1500" w:hanging="360"/>
      </w:pPr>
      <w:rPr>
        <w:rFonts w:ascii="Courier New" w:hAnsi="Courier New" w:cs="Courier New" w:hint="default"/>
      </w:rPr>
    </w:lvl>
    <w:lvl w:ilvl="2" w:tplc="181A0005" w:tentative="1">
      <w:start w:val="1"/>
      <w:numFmt w:val="bullet"/>
      <w:lvlText w:val=""/>
      <w:lvlJc w:val="left"/>
      <w:pPr>
        <w:ind w:left="2220" w:hanging="360"/>
      </w:pPr>
      <w:rPr>
        <w:rFonts w:ascii="Wingdings" w:hAnsi="Wingdings" w:hint="default"/>
      </w:rPr>
    </w:lvl>
    <w:lvl w:ilvl="3" w:tplc="181A0001" w:tentative="1">
      <w:start w:val="1"/>
      <w:numFmt w:val="bullet"/>
      <w:lvlText w:val=""/>
      <w:lvlJc w:val="left"/>
      <w:pPr>
        <w:ind w:left="2940" w:hanging="360"/>
      </w:pPr>
      <w:rPr>
        <w:rFonts w:ascii="Symbol" w:hAnsi="Symbol" w:hint="default"/>
      </w:rPr>
    </w:lvl>
    <w:lvl w:ilvl="4" w:tplc="181A0003" w:tentative="1">
      <w:start w:val="1"/>
      <w:numFmt w:val="bullet"/>
      <w:lvlText w:val="o"/>
      <w:lvlJc w:val="left"/>
      <w:pPr>
        <w:ind w:left="3660" w:hanging="360"/>
      </w:pPr>
      <w:rPr>
        <w:rFonts w:ascii="Courier New" w:hAnsi="Courier New" w:cs="Courier New" w:hint="default"/>
      </w:rPr>
    </w:lvl>
    <w:lvl w:ilvl="5" w:tplc="181A0005" w:tentative="1">
      <w:start w:val="1"/>
      <w:numFmt w:val="bullet"/>
      <w:lvlText w:val=""/>
      <w:lvlJc w:val="left"/>
      <w:pPr>
        <w:ind w:left="4380" w:hanging="360"/>
      </w:pPr>
      <w:rPr>
        <w:rFonts w:ascii="Wingdings" w:hAnsi="Wingdings" w:hint="default"/>
      </w:rPr>
    </w:lvl>
    <w:lvl w:ilvl="6" w:tplc="181A0001" w:tentative="1">
      <w:start w:val="1"/>
      <w:numFmt w:val="bullet"/>
      <w:lvlText w:val=""/>
      <w:lvlJc w:val="left"/>
      <w:pPr>
        <w:ind w:left="5100" w:hanging="360"/>
      </w:pPr>
      <w:rPr>
        <w:rFonts w:ascii="Symbol" w:hAnsi="Symbol" w:hint="default"/>
      </w:rPr>
    </w:lvl>
    <w:lvl w:ilvl="7" w:tplc="181A0003" w:tentative="1">
      <w:start w:val="1"/>
      <w:numFmt w:val="bullet"/>
      <w:lvlText w:val="o"/>
      <w:lvlJc w:val="left"/>
      <w:pPr>
        <w:ind w:left="5820" w:hanging="360"/>
      </w:pPr>
      <w:rPr>
        <w:rFonts w:ascii="Courier New" w:hAnsi="Courier New" w:cs="Courier New" w:hint="default"/>
      </w:rPr>
    </w:lvl>
    <w:lvl w:ilvl="8" w:tplc="181A0005" w:tentative="1">
      <w:start w:val="1"/>
      <w:numFmt w:val="bullet"/>
      <w:lvlText w:val=""/>
      <w:lvlJc w:val="left"/>
      <w:pPr>
        <w:ind w:left="6540" w:hanging="360"/>
      </w:pPr>
      <w:rPr>
        <w:rFonts w:ascii="Wingdings" w:hAnsi="Wingdings" w:hint="default"/>
      </w:rPr>
    </w:lvl>
  </w:abstractNum>
  <w:abstractNum w:abstractNumId="21" w15:restartNumberingAfterBreak="0">
    <w:nsid w:val="55B5382C"/>
    <w:multiLevelType w:val="hybridMultilevel"/>
    <w:tmpl w:val="66A8DA62"/>
    <w:lvl w:ilvl="0" w:tplc="04090011">
      <w:start w:val="1"/>
      <w:numFmt w:val="decimal"/>
      <w:lvlText w:val="%1)"/>
      <w:lvlJc w:val="left"/>
      <w:pPr>
        <w:ind w:left="1080" w:hanging="360"/>
      </w:p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22" w15:restartNumberingAfterBreak="0">
    <w:nsid w:val="56943FAD"/>
    <w:multiLevelType w:val="multilevel"/>
    <w:tmpl w:val="CEFC2E8E"/>
    <w:lvl w:ilvl="0">
      <w:start w:val="1"/>
      <w:numFmt w:val="russianLower"/>
      <w:lvlText w:val="%1)"/>
      <w:lvlJc w:val="left"/>
      <w:pPr>
        <w:tabs>
          <w:tab w:val="num" w:pos="340"/>
        </w:tabs>
        <w:ind w:left="340" w:hanging="340"/>
      </w:pPr>
      <w:rPr>
        <w:rFonts w:ascii="Arial" w:hAnsi="Arial" w:hint="default"/>
        <w:sz w:val="22"/>
        <w:szCs w:val="22"/>
      </w:rPr>
    </w:lvl>
    <w:lvl w:ilvl="1">
      <w:start w:val="1"/>
      <w:numFmt w:val="lowerLetter"/>
      <w:lvlText w:val="%2)"/>
      <w:lvlJc w:val="left"/>
      <w:pPr>
        <w:tabs>
          <w:tab w:val="num" w:pos="2177"/>
        </w:tabs>
        <w:ind w:left="2177" w:hanging="360"/>
      </w:pPr>
      <w:rPr>
        <w:rFonts w:hint="default"/>
      </w:rPr>
    </w:lvl>
    <w:lvl w:ilvl="2">
      <w:start w:val="1"/>
      <w:numFmt w:val="lowerRoman"/>
      <w:lvlText w:val="%3)"/>
      <w:lvlJc w:val="left"/>
      <w:pPr>
        <w:tabs>
          <w:tab w:val="num" w:pos="2537"/>
        </w:tabs>
        <w:ind w:left="2537" w:hanging="360"/>
      </w:pPr>
      <w:rPr>
        <w:rFonts w:hint="default"/>
      </w:rPr>
    </w:lvl>
    <w:lvl w:ilvl="3">
      <w:start w:val="1"/>
      <w:numFmt w:val="decimal"/>
      <w:lvlText w:val="(%4)"/>
      <w:lvlJc w:val="left"/>
      <w:pPr>
        <w:tabs>
          <w:tab w:val="num" w:pos="2897"/>
        </w:tabs>
        <w:ind w:left="2897" w:hanging="360"/>
      </w:pPr>
      <w:rPr>
        <w:rFonts w:hint="default"/>
      </w:rPr>
    </w:lvl>
    <w:lvl w:ilvl="4">
      <w:start w:val="1"/>
      <w:numFmt w:val="lowerLetter"/>
      <w:lvlText w:val="(%5)"/>
      <w:lvlJc w:val="left"/>
      <w:pPr>
        <w:tabs>
          <w:tab w:val="num" w:pos="3257"/>
        </w:tabs>
        <w:ind w:left="3257" w:hanging="360"/>
      </w:pPr>
      <w:rPr>
        <w:rFonts w:hint="default"/>
      </w:rPr>
    </w:lvl>
    <w:lvl w:ilvl="5">
      <w:start w:val="1"/>
      <w:numFmt w:val="lowerRoman"/>
      <w:lvlText w:val="(%6)"/>
      <w:lvlJc w:val="left"/>
      <w:pPr>
        <w:tabs>
          <w:tab w:val="num" w:pos="3617"/>
        </w:tabs>
        <w:ind w:left="3617" w:hanging="360"/>
      </w:pPr>
      <w:rPr>
        <w:rFonts w:hint="default"/>
      </w:rPr>
    </w:lvl>
    <w:lvl w:ilvl="6">
      <w:start w:val="1"/>
      <w:numFmt w:val="decimal"/>
      <w:lvlText w:val="%7."/>
      <w:lvlJc w:val="left"/>
      <w:pPr>
        <w:tabs>
          <w:tab w:val="num" w:pos="3977"/>
        </w:tabs>
        <w:ind w:left="3977" w:hanging="360"/>
      </w:pPr>
      <w:rPr>
        <w:rFonts w:hint="default"/>
      </w:rPr>
    </w:lvl>
    <w:lvl w:ilvl="7">
      <w:start w:val="1"/>
      <w:numFmt w:val="lowerLetter"/>
      <w:lvlText w:val="%8."/>
      <w:lvlJc w:val="left"/>
      <w:pPr>
        <w:tabs>
          <w:tab w:val="num" w:pos="4337"/>
        </w:tabs>
        <w:ind w:left="4337" w:hanging="360"/>
      </w:pPr>
      <w:rPr>
        <w:rFonts w:hint="default"/>
      </w:rPr>
    </w:lvl>
    <w:lvl w:ilvl="8">
      <w:start w:val="1"/>
      <w:numFmt w:val="lowerRoman"/>
      <w:lvlText w:val="%9."/>
      <w:lvlJc w:val="left"/>
      <w:pPr>
        <w:tabs>
          <w:tab w:val="num" w:pos="4697"/>
        </w:tabs>
        <w:ind w:left="4697" w:hanging="360"/>
      </w:pPr>
      <w:rPr>
        <w:rFonts w:hint="default"/>
      </w:rPr>
    </w:lvl>
  </w:abstractNum>
  <w:abstractNum w:abstractNumId="23" w15:restartNumberingAfterBreak="0">
    <w:nsid w:val="5860130A"/>
    <w:multiLevelType w:val="hybridMultilevel"/>
    <w:tmpl w:val="2370DFD8"/>
    <w:lvl w:ilvl="0" w:tplc="04090011">
      <w:start w:val="1"/>
      <w:numFmt w:val="decimal"/>
      <w:lvlText w:val="%1)"/>
      <w:lvlJc w:val="left"/>
      <w:pPr>
        <w:ind w:left="1080" w:hanging="360"/>
      </w:p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24" w15:restartNumberingAfterBreak="0">
    <w:nsid w:val="5CF85A70"/>
    <w:multiLevelType w:val="hybridMultilevel"/>
    <w:tmpl w:val="9A1A50E2"/>
    <w:lvl w:ilvl="0" w:tplc="04090005">
      <w:start w:val="1"/>
      <w:numFmt w:val="bullet"/>
      <w:lvlText w:val=""/>
      <w:lvlJc w:val="left"/>
      <w:pPr>
        <w:ind w:left="720" w:hanging="360"/>
      </w:pPr>
      <w:rPr>
        <w:rFonts w:ascii="Wingdings" w:hAnsi="Wingdings" w:hint="default"/>
      </w:rPr>
    </w:lvl>
    <w:lvl w:ilvl="1" w:tplc="181A0003">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5" w15:restartNumberingAfterBreak="0">
    <w:nsid w:val="60D1726F"/>
    <w:multiLevelType w:val="multilevel"/>
    <w:tmpl w:val="0AC4458C"/>
    <w:lvl w:ilvl="0">
      <w:start w:val="1"/>
      <w:numFmt w:val="decimal"/>
      <w:lvlText w:val="%1."/>
      <w:lvlJc w:val="left"/>
      <w:pPr>
        <w:tabs>
          <w:tab w:val="num" w:pos="340"/>
        </w:tabs>
        <w:ind w:left="680" w:hanging="340"/>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32230E0"/>
    <w:multiLevelType w:val="hybridMultilevel"/>
    <w:tmpl w:val="63C270EC"/>
    <w:lvl w:ilvl="0" w:tplc="0EDECD7E">
      <w:numFmt w:val="bullet"/>
      <w:lvlText w:val="-"/>
      <w:lvlJc w:val="left"/>
      <w:pPr>
        <w:ind w:left="720" w:hanging="360"/>
      </w:pPr>
      <w:rPr>
        <w:rFonts w:ascii="Arial" w:eastAsia="Arial" w:hAnsi="Arial" w:cs="Arial" w:hint="default"/>
        <w:w w:val="99"/>
        <w:sz w:val="20"/>
        <w:szCs w:val="20"/>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7" w15:restartNumberingAfterBreak="0">
    <w:nsid w:val="74D67FAB"/>
    <w:multiLevelType w:val="multilevel"/>
    <w:tmpl w:val="0409001F"/>
    <w:name w:val="Naslovi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55C2216"/>
    <w:multiLevelType w:val="multilevel"/>
    <w:tmpl w:val="DA82352E"/>
    <w:lvl w:ilvl="0">
      <w:start w:val="1"/>
      <w:numFmt w:val="russianLower"/>
      <w:lvlText w:val="%1)"/>
      <w:lvlJc w:val="left"/>
      <w:pPr>
        <w:tabs>
          <w:tab w:val="num" w:pos="1021"/>
        </w:tabs>
        <w:ind w:left="1021" w:hanging="301"/>
      </w:pPr>
      <w:rPr>
        <w:rFonts w:ascii="Times New Roman" w:hAnsi="Times New Roman" w:hint="default"/>
        <w:sz w:val="22"/>
        <w:szCs w:val="22"/>
      </w:rPr>
    </w:lvl>
    <w:lvl w:ilvl="1">
      <w:start w:val="1"/>
      <w:numFmt w:val="lowerLetter"/>
      <w:lvlText w:val="%2)"/>
      <w:lvlJc w:val="left"/>
      <w:pPr>
        <w:tabs>
          <w:tab w:val="num" w:pos="2897"/>
        </w:tabs>
        <w:ind w:left="2897" w:hanging="360"/>
      </w:pPr>
      <w:rPr>
        <w:rFonts w:hint="default"/>
      </w:rPr>
    </w:lvl>
    <w:lvl w:ilvl="2">
      <w:start w:val="1"/>
      <w:numFmt w:val="lowerRoman"/>
      <w:lvlText w:val="%3)"/>
      <w:lvlJc w:val="left"/>
      <w:pPr>
        <w:tabs>
          <w:tab w:val="num" w:pos="3257"/>
        </w:tabs>
        <w:ind w:left="3257" w:hanging="360"/>
      </w:pPr>
      <w:rPr>
        <w:rFonts w:hint="default"/>
      </w:rPr>
    </w:lvl>
    <w:lvl w:ilvl="3">
      <w:start w:val="1"/>
      <w:numFmt w:val="decimal"/>
      <w:lvlText w:val="(%4)"/>
      <w:lvlJc w:val="left"/>
      <w:pPr>
        <w:tabs>
          <w:tab w:val="num" w:pos="3617"/>
        </w:tabs>
        <w:ind w:left="3617" w:hanging="360"/>
      </w:pPr>
      <w:rPr>
        <w:rFonts w:hint="default"/>
      </w:rPr>
    </w:lvl>
    <w:lvl w:ilvl="4">
      <w:start w:val="1"/>
      <w:numFmt w:val="lowerLetter"/>
      <w:lvlText w:val="(%5)"/>
      <w:lvlJc w:val="left"/>
      <w:pPr>
        <w:tabs>
          <w:tab w:val="num" w:pos="3977"/>
        </w:tabs>
        <w:ind w:left="3977" w:hanging="360"/>
      </w:pPr>
      <w:rPr>
        <w:rFonts w:hint="default"/>
      </w:rPr>
    </w:lvl>
    <w:lvl w:ilvl="5">
      <w:start w:val="1"/>
      <w:numFmt w:val="lowerRoman"/>
      <w:lvlText w:val="(%6)"/>
      <w:lvlJc w:val="left"/>
      <w:pPr>
        <w:tabs>
          <w:tab w:val="num" w:pos="4337"/>
        </w:tabs>
        <w:ind w:left="4337" w:hanging="360"/>
      </w:pPr>
      <w:rPr>
        <w:rFonts w:hint="default"/>
      </w:rPr>
    </w:lvl>
    <w:lvl w:ilvl="6">
      <w:start w:val="1"/>
      <w:numFmt w:val="decimal"/>
      <w:lvlText w:val="%7."/>
      <w:lvlJc w:val="left"/>
      <w:pPr>
        <w:tabs>
          <w:tab w:val="num" w:pos="4697"/>
        </w:tabs>
        <w:ind w:left="4697" w:hanging="360"/>
      </w:pPr>
      <w:rPr>
        <w:rFonts w:hint="default"/>
      </w:rPr>
    </w:lvl>
    <w:lvl w:ilvl="7">
      <w:start w:val="1"/>
      <w:numFmt w:val="lowerLetter"/>
      <w:lvlText w:val="%8."/>
      <w:lvlJc w:val="left"/>
      <w:pPr>
        <w:tabs>
          <w:tab w:val="num" w:pos="5057"/>
        </w:tabs>
        <w:ind w:left="5057" w:hanging="360"/>
      </w:pPr>
      <w:rPr>
        <w:rFonts w:hint="default"/>
      </w:rPr>
    </w:lvl>
    <w:lvl w:ilvl="8">
      <w:start w:val="1"/>
      <w:numFmt w:val="lowerRoman"/>
      <w:lvlText w:val="%9."/>
      <w:lvlJc w:val="left"/>
      <w:pPr>
        <w:tabs>
          <w:tab w:val="num" w:pos="5417"/>
        </w:tabs>
        <w:ind w:left="5417" w:hanging="360"/>
      </w:pPr>
      <w:rPr>
        <w:rFonts w:hint="default"/>
      </w:rPr>
    </w:lvl>
  </w:abstractNum>
  <w:num w:numId="1">
    <w:abstractNumId w:val="22"/>
  </w:num>
  <w:num w:numId="2">
    <w:abstractNumId w:val="16"/>
  </w:num>
  <w:num w:numId="3">
    <w:abstractNumId w:val="11"/>
  </w:num>
  <w:num w:numId="4">
    <w:abstractNumId w:val="16"/>
  </w:num>
  <w:num w:numId="5">
    <w:abstractNumId w:val="22"/>
  </w:num>
  <w:num w:numId="6">
    <w:abstractNumId w:val="4"/>
  </w:num>
  <w:num w:numId="7">
    <w:abstractNumId w:val="0"/>
    <w:lvlOverride w:ilvl="0">
      <w:lvl w:ilvl="0">
        <w:start w:val="1"/>
        <w:numFmt w:val="bullet"/>
        <w:lvlText w:val=""/>
        <w:legacy w:legacy="1" w:legacySpace="0" w:legacyIndent="227"/>
        <w:lvlJc w:val="left"/>
        <w:pPr>
          <w:ind w:left="471" w:hanging="227"/>
        </w:pPr>
        <w:rPr>
          <w:rFonts w:ascii="Symbol" w:hAnsi="Symbol" w:hint="default"/>
        </w:rPr>
      </w:lvl>
    </w:lvlOverride>
  </w:num>
  <w:num w:numId="8">
    <w:abstractNumId w:val="0"/>
    <w:lvlOverride w:ilvl="0">
      <w:lvl w:ilvl="0">
        <w:start w:val="1"/>
        <w:numFmt w:val="bullet"/>
        <w:lvlText w:val=""/>
        <w:legacy w:legacy="1" w:legacySpace="0" w:legacyIndent="227"/>
        <w:lvlJc w:val="left"/>
        <w:pPr>
          <w:ind w:left="567" w:hanging="227"/>
        </w:pPr>
        <w:rPr>
          <w:rFonts w:ascii="Symbol" w:hAnsi="Symbol" w:hint="default"/>
        </w:rPr>
      </w:lvl>
    </w:lvlOverride>
  </w:num>
  <w:num w:numId="9">
    <w:abstractNumId w:val="19"/>
  </w:num>
  <w:num w:numId="10">
    <w:abstractNumId w:val="28"/>
  </w:num>
  <w:num w:numId="11">
    <w:abstractNumId w:val="19"/>
  </w:num>
  <w:num w:numId="12">
    <w:abstractNumId w:val="8"/>
  </w:num>
  <w:num w:numId="13">
    <w:abstractNumId w:val="12"/>
  </w:num>
  <w:num w:numId="14">
    <w:abstractNumId w:val="25"/>
  </w:num>
  <w:num w:numId="15">
    <w:abstractNumId w:val="19"/>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3"/>
  </w:num>
  <w:num w:numId="21">
    <w:abstractNumId w:val="26"/>
  </w:num>
  <w:num w:numId="22">
    <w:abstractNumId w:val="14"/>
  </w:num>
  <w:num w:numId="23">
    <w:abstractNumId w:val="23"/>
  </w:num>
  <w:num w:numId="24">
    <w:abstractNumId w:val="21"/>
  </w:num>
  <w:num w:numId="25">
    <w:abstractNumId w:val="20"/>
  </w:num>
  <w:num w:numId="26">
    <w:abstractNumId w:val="24"/>
  </w:num>
  <w:num w:numId="27">
    <w:abstractNumId w:val="1"/>
  </w:num>
  <w:num w:numId="28">
    <w:abstractNumId w:val="7"/>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mirrorMargins/>
  <w:proofState w:spelling="clean" w:grammar="clean"/>
  <w:attachedTemplate r:id="rId1"/>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720"/>
  <w:hyphenationZone w:val="425"/>
  <w:drawingGridHorizontalSpacing w:val="57"/>
  <w:drawingGridVerticalSpacing w:val="57"/>
  <w:displayHorizontalDrawingGridEvery w:val="2"/>
  <w:displayVerticalDrawingGridEvery w:val="2"/>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B72"/>
    <w:rsid w:val="00003B2A"/>
    <w:rsid w:val="00006E0A"/>
    <w:rsid w:val="00011152"/>
    <w:rsid w:val="00012BCA"/>
    <w:rsid w:val="00014B20"/>
    <w:rsid w:val="00020013"/>
    <w:rsid w:val="0002020C"/>
    <w:rsid w:val="00021703"/>
    <w:rsid w:val="000234A3"/>
    <w:rsid w:val="000246CC"/>
    <w:rsid w:val="0002502F"/>
    <w:rsid w:val="000328B0"/>
    <w:rsid w:val="00032B36"/>
    <w:rsid w:val="00042A22"/>
    <w:rsid w:val="000445EE"/>
    <w:rsid w:val="00047E55"/>
    <w:rsid w:val="000639A0"/>
    <w:rsid w:val="00064466"/>
    <w:rsid w:val="00072E7E"/>
    <w:rsid w:val="00077D6B"/>
    <w:rsid w:val="000913E0"/>
    <w:rsid w:val="0009624D"/>
    <w:rsid w:val="00096987"/>
    <w:rsid w:val="000A170F"/>
    <w:rsid w:val="000A480C"/>
    <w:rsid w:val="000B2083"/>
    <w:rsid w:val="000B3E72"/>
    <w:rsid w:val="000B473A"/>
    <w:rsid w:val="000B6504"/>
    <w:rsid w:val="000C06AE"/>
    <w:rsid w:val="000F3563"/>
    <w:rsid w:val="000F6083"/>
    <w:rsid w:val="0010680B"/>
    <w:rsid w:val="00107363"/>
    <w:rsid w:val="00123DE6"/>
    <w:rsid w:val="00124635"/>
    <w:rsid w:val="001256FB"/>
    <w:rsid w:val="00125BAC"/>
    <w:rsid w:val="00131C7A"/>
    <w:rsid w:val="00133889"/>
    <w:rsid w:val="00133EDE"/>
    <w:rsid w:val="00135CD8"/>
    <w:rsid w:val="00137460"/>
    <w:rsid w:val="00144057"/>
    <w:rsid w:val="00151A6E"/>
    <w:rsid w:val="00155A8C"/>
    <w:rsid w:val="001606E8"/>
    <w:rsid w:val="00183428"/>
    <w:rsid w:val="00193DFD"/>
    <w:rsid w:val="00195DE1"/>
    <w:rsid w:val="001B03F6"/>
    <w:rsid w:val="001B3BA8"/>
    <w:rsid w:val="001B7852"/>
    <w:rsid w:val="001C1667"/>
    <w:rsid w:val="001C424C"/>
    <w:rsid w:val="001C7B8B"/>
    <w:rsid w:val="001D60FA"/>
    <w:rsid w:val="001E5DD0"/>
    <w:rsid w:val="001F379E"/>
    <w:rsid w:val="001F4797"/>
    <w:rsid w:val="002132BE"/>
    <w:rsid w:val="002140C4"/>
    <w:rsid w:val="00216B63"/>
    <w:rsid w:val="002312B2"/>
    <w:rsid w:val="0023431D"/>
    <w:rsid w:val="00237637"/>
    <w:rsid w:val="00237ECA"/>
    <w:rsid w:val="002455A0"/>
    <w:rsid w:val="00252444"/>
    <w:rsid w:val="00252E21"/>
    <w:rsid w:val="00253377"/>
    <w:rsid w:val="00282264"/>
    <w:rsid w:val="00284F0C"/>
    <w:rsid w:val="00292AE2"/>
    <w:rsid w:val="00296E64"/>
    <w:rsid w:val="002A20A5"/>
    <w:rsid w:val="002B0DCB"/>
    <w:rsid w:val="002B6410"/>
    <w:rsid w:val="002D6C1D"/>
    <w:rsid w:val="002E71B3"/>
    <w:rsid w:val="002F201F"/>
    <w:rsid w:val="002F290A"/>
    <w:rsid w:val="002F5B72"/>
    <w:rsid w:val="0030771A"/>
    <w:rsid w:val="00323F46"/>
    <w:rsid w:val="00336A06"/>
    <w:rsid w:val="00367EF0"/>
    <w:rsid w:val="00375A3E"/>
    <w:rsid w:val="00397E7A"/>
    <w:rsid w:val="003A33A5"/>
    <w:rsid w:val="003C59F7"/>
    <w:rsid w:val="003D1617"/>
    <w:rsid w:val="003D6327"/>
    <w:rsid w:val="003E775A"/>
    <w:rsid w:val="0040164A"/>
    <w:rsid w:val="00407261"/>
    <w:rsid w:val="004125AC"/>
    <w:rsid w:val="0042027B"/>
    <w:rsid w:val="00442FF1"/>
    <w:rsid w:val="00455A7D"/>
    <w:rsid w:val="004575C3"/>
    <w:rsid w:val="004662FB"/>
    <w:rsid w:val="00473AC5"/>
    <w:rsid w:val="00492639"/>
    <w:rsid w:val="00495538"/>
    <w:rsid w:val="004A5739"/>
    <w:rsid w:val="004B154F"/>
    <w:rsid w:val="004B19FC"/>
    <w:rsid w:val="004B294C"/>
    <w:rsid w:val="004C1BE4"/>
    <w:rsid w:val="004D01A3"/>
    <w:rsid w:val="004E2103"/>
    <w:rsid w:val="004F57C1"/>
    <w:rsid w:val="004F7C1D"/>
    <w:rsid w:val="00513E52"/>
    <w:rsid w:val="005147CE"/>
    <w:rsid w:val="00527E64"/>
    <w:rsid w:val="00536FF6"/>
    <w:rsid w:val="005567A1"/>
    <w:rsid w:val="0058315A"/>
    <w:rsid w:val="00587388"/>
    <w:rsid w:val="0059280E"/>
    <w:rsid w:val="005A71A5"/>
    <w:rsid w:val="005A7BCF"/>
    <w:rsid w:val="005B15BC"/>
    <w:rsid w:val="005C0684"/>
    <w:rsid w:val="005C1CA8"/>
    <w:rsid w:val="005C607C"/>
    <w:rsid w:val="005C7543"/>
    <w:rsid w:val="005D04ED"/>
    <w:rsid w:val="005D2BEA"/>
    <w:rsid w:val="005D5134"/>
    <w:rsid w:val="005D57ED"/>
    <w:rsid w:val="005F179B"/>
    <w:rsid w:val="005F6724"/>
    <w:rsid w:val="006036AF"/>
    <w:rsid w:val="0061032E"/>
    <w:rsid w:val="00626D86"/>
    <w:rsid w:val="00627453"/>
    <w:rsid w:val="00630205"/>
    <w:rsid w:val="0063426F"/>
    <w:rsid w:val="0064079F"/>
    <w:rsid w:val="006437AD"/>
    <w:rsid w:val="0064735A"/>
    <w:rsid w:val="006554CD"/>
    <w:rsid w:val="00686FEB"/>
    <w:rsid w:val="00697EBD"/>
    <w:rsid w:val="006C0BBF"/>
    <w:rsid w:val="006C15C0"/>
    <w:rsid w:val="006D1B01"/>
    <w:rsid w:val="006E423E"/>
    <w:rsid w:val="007063D3"/>
    <w:rsid w:val="00712A06"/>
    <w:rsid w:val="00714D29"/>
    <w:rsid w:val="0071799A"/>
    <w:rsid w:val="00722D9A"/>
    <w:rsid w:val="007427B1"/>
    <w:rsid w:val="00742BB5"/>
    <w:rsid w:val="007717EA"/>
    <w:rsid w:val="0078175C"/>
    <w:rsid w:val="00793352"/>
    <w:rsid w:val="007A29E4"/>
    <w:rsid w:val="007A413A"/>
    <w:rsid w:val="007B1A3E"/>
    <w:rsid w:val="007D1C37"/>
    <w:rsid w:val="007E0579"/>
    <w:rsid w:val="007E33B8"/>
    <w:rsid w:val="007E5136"/>
    <w:rsid w:val="007E730E"/>
    <w:rsid w:val="0080412F"/>
    <w:rsid w:val="008046CD"/>
    <w:rsid w:val="008148D7"/>
    <w:rsid w:val="00822969"/>
    <w:rsid w:val="00830BD9"/>
    <w:rsid w:val="00835CF0"/>
    <w:rsid w:val="0084653B"/>
    <w:rsid w:val="00846CF8"/>
    <w:rsid w:val="008514CA"/>
    <w:rsid w:val="00852AC0"/>
    <w:rsid w:val="00862882"/>
    <w:rsid w:val="008914EE"/>
    <w:rsid w:val="0089453D"/>
    <w:rsid w:val="00897C66"/>
    <w:rsid w:val="008C6D7C"/>
    <w:rsid w:val="008D2CC3"/>
    <w:rsid w:val="008D5EC7"/>
    <w:rsid w:val="008D6B76"/>
    <w:rsid w:val="008E5C55"/>
    <w:rsid w:val="008E748A"/>
    <w:rsid w:val="008F175A"/>
    <w:rsid w:val="008F35F6"/>
    <w:rsid w:val="008F56DB"/>
    <w:rsid w:val="00925497"/>
    <w:rsid w:val="009311FF"/>
    <w:rsid w:val="0093440B"/>
    <w:rsid w:val="009550A4"/>
    <w:rsid w:val="00965D5B"/>
    <w:rsid w:val="0099162B"/>
    <w:rsid w:val="00991AA1"/>
    <w:rsid w:val="00997922"/>
    <w:rsid w:val="009B255B"/>
    <w:rsid w:val="009B5933"/>
    <w:rsid w:val="009B5A73"/>
    <w:rsid w:val="009B7111"/>
    <w:rsid w:val="009C0257"/>
    <w:rsid w:val="009C0F08"/>
    <w:rsid w:val="009C303F"/>
    <w:rsid w:val="009E4843"/>
    <w:rsid w:val="009E5C52"/>
    <w:rsid w:val="009E5EEB"/>
    <w:rsid w:val="00A02A08"/>
    <w:rsid w:val="00A03682"/>
    <w:rsid w:val="00A14DEA"/>
    <w:rsid w:val="00A172D2"/>
    <w:rsid w:val="00A17581"/>
    <w:rsid w:val="00A30654"/>
    <w:rsid w:val="00A43139"/>
    <w:rsid w:val="00A5754E"/>
    <w:rsid w:val="00A617FB"/>
    <w:rsid w:val="00A70AC2"/>
    <w:rsid w:val="00A91B90"/>
    <w:rsid w:val="00AA1214"/>
    <w:rsid w:val="00AA6A78"/>
    <w:rsid w:val="00AA76D8"/>
    <w:rsid w:val="00AB3419"/>
    <w:rsid w:val="00AC2C32"/>
    <w:rsid w:val="00AC3373"/>
    <w:rsid w:val="00AD2E61"/>
    <w:rsid w:val="00AE4037"/>
    <w:rsid w:val="00AF1B9C"/>
    <w:rsid w:val="00AF2CC6"/>
    <w:rsid w:val="00AF5365"/>
    <w:rsid w:val="00AF7784"/>
    <w:rsid w:val="00B0087A"/>
    <w:rsid w:val="00B06949"/>
    <w:rsid w:val="00B1015A"/>
    <w:rsid w:val="00B227E6"/>
    <w:rsid w:val="00B31F98"/>
    <w:rsid w:val="00B338E4"/>
    <w:rsid w:val="00B50423"/>
    <w:rsid w:val="00B5237C"/>
    <w:rsid w:val="00B56BB2"/>
    <w:rsid w:val="00B678F9"/>
    <w:rsid w:val="00B723F1"/>
    <w:rsid w:val="00B84BC4"/>
    <w:rsid w:val="00B93931"/>
    <w:rsid w:val="00BA3C81"/>
    <w:rsid w:val="00BA3D32"/>
    <w:rsid w:val="00BC01D5"/>
    <w:rsid w:val="00BD158B"/>
    <w:rsid w:val="00BD3301"/>
    <w:rsid w:val="00BD4B86"/>
    <w:rsid w:val="00BD4F94"/>
    <w:rsid w:val="00BD6D88"/>
    <w:rsid w:val="00BF2E9B"/>
    <w:rsid w:val="00BF3D61"/>
    <w:rsid w:val="00C01EBF"/>
    <w:rsid w:val="00C0246A"/>
    <w:rsid w:val="00C029B7"/>
    <w:rsid w:val="00C1155F"/>
    <w:rsid w:val="00C2327F"/>
    <w:rsid w:val="00C265C3"/>
    <w:rsid w:val="00C30150"/>
    <w:rsid w:val="00C42E7B"/>
    <w:rsid w:val="00C437F0"/>
    <w:rsid w:val="00C45213"/>
    <w:rsid w:val="00C60E30"/>
    <w:rsid w:val="00C627D5"/>
    <w:rsid w:val="00C70595"/>
    <w:rsid w:val="00C70946"/>
    <w:rsid w:val="00C71C05"/>
    <w:rsid w:val="00C728F1"/>
    <w:rsid w:val="00C74124"/>
    <w:rsid w:val="00C74C6E"/>
    <w:rsid w:val="00C77F43"/>
    <w:rsid w:val="00C87783"/>
    <w:rsid w:val="00C918EA"/>
    <w:rsid w:val="00C92AF6"/>
    <w:rsid w:val="00C92FD3"/>
    <w:rsid w:val="00C95B43"/>
    <w:rsid w:val="00CB6EE9"/>
    <w:rsid w:val="00CC436D"/>
    <w:rsid w:val="00CC4E02"/>
    <w:rsid w:val="00CC6E34"/>
    <w:rsid w:val="00CD0257"/>
    <w:rsid w:val="00CD563C"/>
    <w:rsid w:val="00CE18B0"/>
    <w:rsid w:val="00CF0365"/>
    <w:rsid w:val="00CF5499"/>
    <w:rsid w:val="00D03384"/>
    <w:rsid w:val="00D06D14"/>
    <w:rsid w:val="00D2265B"/>
    <w:rsid w:val="00D32B1D"/>
    <w:rsid w:val="00D44FC5"/>
    <w:rsid w:val="00D565A2"/>
    <w:rsid w:val="00D66A6B"/>
    <w:rsid w:val="00D837F7"/>
    <w:rsid w:val="00D8422F"/>
    <w:rsid w:val="00DA4E53"/>
    <w:rsid w:val="00DB0997"/>
    <w:rsid w:val="00DC6B2E"/>
    <w:rsid w:val="00DD3FF0"/>
    <w:rsid w:val="00DD4EB8"/>
    <w:rsid w:val="00DD56D4"/>
    <w:rsid w:val="00DD770B"/>
    <w:rsid w:val="00DE6D98"/>
    <w:rsid w:val="00DF0642"/>
    <w:rsid w:val="00DF21F0"/>
    <w:rsid w:val="00DF35ED"/>
    <w:rsid w:val="00E02505"/>
    <w:rsid w:val="00E15BA8"/>
    <w:rsid w:val="00E24A2F"/>
    <w:rsid w:val="00E312E1"/>
    <w:rsid w:val="00E37B84"/>
    <w:rsid w:val="00E4132E"/>
    <w:rsid w:val="00E42733"/>
    <w:rsid w:val="00E732F5"/>
    <w:rsid w:val="00E73F9E"/>
    <w:rsid w:val="00E7569F"/>
    <w:rsid w:val="00E8360C"/>
    <w:rsid w:val="00E86338"/>
    <w:rsid w:val="00E90BCD"/>
    <w:rsid w:val="00E955E9"/>
    <w:rsid w:val="00EA57AA"/>
    <w:rsid w:val="00EC00B1"/>
    <w:rsid w:val="00EC0117"/>
    <w:rsid w:val="00EC40A9"/>
    <w:rsid w:val="00ED42CA"/>
    <w:rsid w:val="00EE45FA"/>
    <w:rsid w:val="00EE4721"/>
    <w:rsid w:val="00EF113D"/>
    <w:rsid w:val="00EF7A55"/>
    <w:rsid w:val="00F033B7"/>
    <w:rsid w:val="00F06F31"/>
    <w:rsid w:val="00F11630"/>
    <w:rsid w:val="00F12FA7"/>
    <w:rsid w:val="00F13B47"/>
    <w:rsid w:val="00F2009C"/>
    <w:rsid w:val="00F269E3"/>
    <w:rsid w:val="00F32240"/>
    <w:rsid w:val="00F47308"/>
    <w:rsid w:val="00F77D79"/>
    <w:rsid w:val="00F77E80"/>
    <w:rsid w:val="00F87917"/>
    <w:rsid w:val="00F92286"/>
    <w:rsid w:val="00F9435A"/>
    <w:rsid w:val="00F951E8"/>
    <w:rsid w:val="00FA2382"/>
    <w:rsid w:val="00FC3339"/>
    <w:rsid w:val="00FD0E2B"/>
    <w:rsid w:val="00FD2709"/>
    <w:rsid w:val="00FE2BA4"/>
    <w:rsid w:val="00FE3B01"/>
    <w:rsid w:val="00FE60C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CA06699-FEBA-4AE3-85AE-19E1F39F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bs-Latn-BA" w:eastAsia="bs-Latn-B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kst"/>
    <w:qFormat/>
    <w:rsid w:val="009B5A73"/>
    <w:pPr>
      <w:widowControl w:val="0"/>
      <w:spacing w:after="240"/>
      <w:jc w:val="both"/>
    </w:pPr>
    <w:rPr>
      <w:rFonts w:ascii="Arial" w:hAnsi="Arial"/>
      <w:sz w:val="22"/>
      <w:szCs w:val="22"/>
      <w:lang w:val="sr-Latn-CS" w:eastAsia="en-US"/>
    </w:rPr>
  </w:style>
  <w:style w:type="paragraph" w:styleId="Heading1">
    <w:name w:val="heading 1"/>
    <w:basedOn w:val="Normal"/>
    <w:next w:val="Normal"/>
    <w:link w:val="Heading1Char"/>
    <w:qFormat/>
    <w:rsid w:val="009B5A73"/>
    <w:pPr>
      <w:keepNext/>
      <w:numPr>
        <w:numId w:val="6"/>
      </w:numPr>
      <w:tabs>
        <w:tab w:val="left" w:pos="340"/>
      </w:tabs>
      <w:spacing w:before="720"/>
      <w:jc w:val="left"/>
      <w:outlineLvl w:val="0"/>
    </w:pPr>
    <w:rPr>
      <w:rFonts w:cs="Arial"/>
      <w:b/>
      <w:bCs/>
      <w:caps/>
      <w:sz w:val="24"/>
      <w:szCs w:val="24"/>
    </w:rPr>
  </w:style>
  <w:style w:type="paragraph" w:styleId="Heading2">
    <w:name w:val="heading 2"/>
    <w:basedOn w:val="Normal"/>
    <w:next w:val="Normal"/>
    <w:qFormat/>
    <w:rsid w:val="009B5A73"/>
    <w:pPr>
      <w:keepNext/>
      <w:numPr>
        <w:ilvl w:val="1"/>
        <w:numId w:val="6"/>
      </w:numPr>
      <w:tabs>
        <w:tab w:val="left" w:pos="680"/>
      </w:tabs>
      <w:spacing w:before="480"/>
      <w:jc w:val="left"/>
      <w:outlineLvl w:val="1"/>
    </w:pPr>
    <w:rPr>
      <w:rFonts w:cs="Arial"/>
      <w:b/>
      <w:bCs/>
      <w:iCs/>
      <w:sz w:val="24"/>
      <w:szCs w:val="24"/>
    </w:rPr>
  </w:style>
  <w:style w:type="paragraph" w:styleId="Heading3">
    <w:name w:val="heading 3"/>
    <w:basedOn w:val="Heading2"/>
    <w:next w:val="Normal"/>
    <w:qFormat/>
    <w:rsid w:val="007063D3"/>
    <w:pPr>
      <w:numPr>
        <w:ilvl w:val="2"/>
      </w:numPr>
      <w:tabs>
        <w:tab w:val="clear" w:pos="680"/>
        <w:tab w:val="left" w:pos="794"/>
      </w:tabs>
      <w:outlineLvl w:val="2"/>
    </w:pPr>
    <w:rPr>
      <w:b w:val="0"/>
      <w:bCs w:val="0"/>
      <w:sz w:val="22"/>
      <w:szCs w:val="22"/>
    </w:rPr>
  </w:style>
  <w:style w:type="paragraph" w:styleId="Heading4">
    <w:name w:val="heading 4"/>
    <w:basedOn w:val="Normal"/>
    <w:next w:val="Normal"/>
    <w:qFormat/>
    <w:rsid w:val="00CD563C"/>
    <w:pPr>
      <w:keepNext/>
      <w:tabs>
        <w:tab w:val="left" w:pos="2268"/>
      </w:tabs>
      <w:spacing w:before="480"/>
      <w:ind w:left="2268" w:hanging="2268"/>
      <w:jc w:val="left"/>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237C"/>
    <w:pPr>
      <w:spacing w:after="0"/>
      <w:jc w:val="center"/>
    </w:pPr>
    <w:rPr>
      <w:rFonts w:ascii="Century Gothic" w:hAnsi="Century Gothic"/>
      <w:sz w:val="18"/>
      <w:szCs w:val="18"/>
    </w:rPr>
  </w:style>
  <w:style w:type="paragraph" w:customStyle="1" w:styleId="Rezime">
    <w:name w:val="Rezime"/>
    <w:basedOn w:val="Normal"/>
    <w:rsid w:val="00237637"/>
    <w:pPr>
      <w:ind w:left="3119"/>
    </w:pPr>
    <w:rPr>
      <w:rFonts w:cs="Arial"/>
      <w:i/>
      <w:iCs/>
      <w:sz w:val="20"/>
      <w:szCs w:val="20"/>
    </w:rPr>
  </w:style>
  <w:style w:type="paragraph" w:styleId="FootnoteText">
    <w:name w:val="footnote text"/>
    <w:basedOn w:val="Normal"/>
    <w:link w:val="FootnoteTextChar"/>
    <w:uiPriority w:val="99"/>
    <w:rsid w:val="00513E52"/>
    <w:pPr>
      <w:tabs>
        <w:tab w:val="left" w:pos="227"/>
      </w:tabs>
      <w:spacing w:after="0"/>
      <w:ind w:left="227" w:hanging="227"/>
    </w:pPr>
    <w:rPr>
      <w:rFonts w:cs="Arial"/>
      <w:sz w:val="16"/>
      <w:szCs w:val="16"/>
    </w:rPr>
  </w:style>
  <w:style w:type="character" w:styleId="FootnoteReference">
    <w:name w:val="footnote reference"/>
    <w:uiPriority w:val="99"/>
    <w:semiHidden/>
    <w:rsid w:val="005A7BCF"/>
    <w:rPr>
      <w:rFonts w:ascii="Arial" w:hAnsi="Arial"/>
      <w:sz w:val="22"/>
      <w:szCs w:val="22"/>
      <w:vertAlign w:val="superscript"/>
    </w:rPr>
  </w:style>
  <w:style w:type="character" w:customStyle="1" w:styleId="FootnoteTextChar">
    <w:name w:val="Footnote Text Char"/>
    <w:link w:val="FootnoteText"/>
    <w:uiPriority w:val="99"/>
    <w:rsid w:val="006554CD"/>
    <w:rPr>
      <w:rFonts w:ascii="Arial" w:hAnsi="Arial" w:cs="Arial"/>
      <w:sz w:val="16"/>
      <w:szCs w:val="16"/>
      <w:lang w:val="sr-Cyrl-CS" w:eastAsia="en-US" w:bidi="ar-SA"/>
    </w:rPr>
  </w:style>
  <w:style w:type="paragraph" w:customStyle="1" w:styleId="Primer">
    <w:name w:val="Primer"/>
    <w:basedOn w:val="Normal"/>
    <w:rsid w:val="00003B2A"/>
    <w:pPr>
      <w:spacing w:after="160"/>
    </w:pPr>
    <w:rPr>
      <w:b/>
      <w:i/>
      <w:sz w:val="18"/>
      <w:szCs w:val="18"/>
    </w:rPr>
  </w:style>
  <w:style w:type="character" w:styleId="Hyperlink">
    <w:name w:val="Hyperlink"/>
    <w:rsid w:val="0063426F"/>
    <w:rPr>
      <w:rFonts w:ascii="Arial" w:hAnsi="Arial"/>
      <w:color w:val="0000FF"/>
      <w:sz w:val="16"/>
      <w:szCs w:val="16"/>
      <w:u w:val="single"/>
    </w:rPr>
  </w:style>
  <w:style w:type="paragraph" w:customStyle="1" w:styleId="Item">
    <w:name w:val="Item"/>
    <w:basedOn w:val="Normal"/>
    <w:rsid w:val="009B5A73"/>
    <w:pPr>
      <w:tabs>
        <w:tab w:val="left" w:pos="227"/>
      </w:tabs>
      <w:overflowPunct w:val="0"/>
      <w:autoSpaceDE w:val="0"/>
      <w:autoSpaceDN w:val="0"/>
      <w:adjustRightInd w:val="0"/>
      <w:ind w:left="680" w:hanging="340"/>
      <w:contextualSpacing/>
      <w:textAlignment w:val="baseline"/>
    </w:pPr>
    <w:rPr>
      <w:lang w:eastAsia="ko-KR"/>
    </w:rPr>
  </w:style>
  <w:style w:type="paragraph" w:customStyle="1" w:styleId="BulletItem">
    <w:name w:val="Bullet Item"/>
    <w:basedOn w:val="Item"/>
    <w:rsid w:val="00C87783"/>
    <w:pPr>
      <w:ind w:left="584"/>
    </w:pPr>
  </w:style>
  <w:style w:type="paragraph" w:customStyle="1" w:styleId="Nabrajanjebrojevi">
    <w:name w:val="Nabrajanje brojevi"/>
    <w:basedOn w:val="Item"/>
    <w:rsid w:val="00AF1B9C"/>
    <w:pPr>
      <w:numPr>
        <w:numId w:val="4"/>
      </w:numPr>
      <w:tabs>
        <w:tab w:val="clear" w:pos="227"/>
      </w:tabs>
    </w:pPr>
  </w:style>
  <w:style w:type="paragraph" w:customStyle="1" w:styleId="Autor">
    <w:name w:val="Autor"/>
    <w:basedOn w:val="Normal"/>
    <w:rsid w:val="00B93931"/>
    <w:pPr>
      <w:spacing w:before="2640" w:after="1440"/>
      <w:jc w:val="center"/>
    </w:pPr>
    <w:rPr>
      <w:rFonts w:cs="Arial"/>
      <w:b/>
      <w:color w:val="000000"/>
      <w:sz w:val="20"/>
      <w:szCs w:val="20"/>
    </w:rPr>
  </w:style>
  <w:style w:type="paragraph" w:customStyle="1" w:styleId="KljucneReci">
    <w:name w:val="KljucneReci"/>
    <w:basedOn w:val="Normal"/>
    <w:rsid w:val="000B6504"/>
    <w:pPr>
      <w:tabs>
        <w:tab w:val="left" w:pos="1701"/>
      </w:tabs>
      <w:ind w:left="4820" w:hanging="1701"/>
      <w:jc w:val="left"/>
    </w:pPr>
    <w:rPr>
      <w:rFonts w:cs="Arial"/>
      <w:caps/>
      <w:sz w:val="20"/>
      <w:szCs w:val="20"/>
    </w:rPr>
  </w:style>
  <w:style w:type="table" w:styleId="TableGrid">
    <w:name w:val="Table Grid"/>
    <w:basedOn w:val="TableNormal"/>
    <w:rsid w:val="00603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brajanjeslova">
    <w:name w:val="nabrajanje slova"/>
    <w:basedOn w:val="Normal"/>
    <w:rsid w:val="00032B36"/>
    <w:pPr>
      <w:numPr>
        <w:numId w:val="15"/>
      </w:numPr>
      <w:spacing w:after="60"/>
      <w:contextualSpacing/>
    </w:pPr>
  </w:style>
  <w:style w:type="paragraph" w:customStyle="1" w:styleId="Naslov">
    <w:name w:val="Naslov"/>
    <w:basedOn w:val="Normal"/>
    <w:rsid w:val="005C1CA8"/>
    <w:pPr>
      <w:spacing w:before="240"/>
      <w:jc w:val="center"/>
    </w:pPr>
    <w:rPr>
      <w:rFonts w:eastAsia="Arial Unicode MS" w:cs="Arial"/>
      <w:b/>
      <w:caps/>
      <w:w w:val="90"/>
      <w:sz w:val="28"/>
      <w:szCs w:val="28"/>
    </w:rPr>
  </w:style>
  <w:style w:type="paragraph" w:customStyle="1" w:styleId="Literatura">
    <w:name w:val="Literatura"/>
    <w:basedOn w:val="Normal"/>
    <w:rsid w:val="00DD3FF0"/>
    <w:pPr>
      <w:numPr>
        <w:numId w:val="3"/>
      </w:numPr>
      <w:spacing w:after="120"/>
    </w:pPr>
    <w:rPr>
      <w:rFonts w:cs="Arial"/>
      <w:sz w:val="18"/>
      <w:szCs w:val="18"/>
    </w:rPr>
  </w:style>
  <w:style w:type="paragraph" w:customStyle="1" w:styleId="naslovtabele">
    <w:name w:val="naslov tabele"/>
    <w:basedOn w:val="Normal"/>
    <w:rsid w:val="00336A06"/>
    <w:pPr>
      <w:keepNext/>
      <w:keepLines/>
      <w:spacing w:before="240" w:after="120"/>
      <w:jc w:val="center"/>
    </w:pPr>
    <w:rPr>
      <w:sz w:val="20"/>
      <w:szCs w:val="20"/>
    </w:rPr>
  </w:style>
  <w:style w:type="paragraph" w:customStyle="1" w:styleId="Potpisslike">
    <w:name w:val="Potpis slike"/>
    <w:basedOn w:val="Normal"/>
    <w:rsid w:val="00DD4EB8"/>
    <w:pPr>
      <w:spacing w:before="120" w:after="360"/>
      <w:jc w:val="center"/>
    </w:pPr>
    <w:rPr>
      <w:sz w:val="20"/>
      <w:szCs w:val="20"/>
      <w:lang w:eastAsia="sr-Latn-CS"/>
    </w:rPr>
  </w:style>
  <w:style w:type="paragraph" w:customStyle="1" w:styleId="Slika">
    <w:name w:val="Slika"/>
    <w:basedOn w:val="Normal"/>
    <w:rsid w:val="005A7BCF"/>
    <w:pPr>
      <w:keepNext/>
      <w:spacing w:after="0"/>
      <w:jc w:val="center"/>
    </w:pPr>
    <w:rPr>
      <w:rFonts w:cs="Arial"/>
    </w:rPr>
  </w:style>
  <w:style w:type="character" w:styleId="PageNumber">
    <w:name w:val="page number"/>
    <w:rsid w:val="0002502F"/>
    <w:rPr>
      <w:rFonts w:ascii="Century Gothic" w:hAnsi="Century Gothic"/>
      <w:b/>
      <w:sz w:val="24"/>
      <w:szCs w:val="24"/>
    </w:rPr>
  </w:style>
  <w:style w:type="paragraph" w:styleId="Footer">
    <w:name w:val="footer"/>
    <w:basedOn w:val="Normal"/>
    <w:link w:val="FooterChar"/>
    <w:uiPriority w:val="99"/>
    <w:rsid w:val="005C1CA8"/>
    <w:pPr>
      <w:spacing w:after="0"/>
      <w:jc w:val="center"/>
    </w:pPr>
    <w:rPr>
      <w:rFonts w:ascii="Century Gothic" w:hAnsi="Century Gothic"/>
      <w:sz w:val="18"/>
      <w:szCs w:val="18"/>
    </w:rPr>
  </w:style>
  <w:style w:type="paragraph" w:customStyle="1" w:styleId="Podaci">
    <w:name w:val="Podaci"/>
    <w:basedOn w:val="Normal"/>
    <w:rsid w:val="00DD4EB8"/>
    <w:pPr>
      <w:spacing w:after="0"/>
      <w:jc w:val="left"/>
    </w:pPr>
    <w:rPr>
      <w:sz w:val="18"/>
      <w:szCs w:val="18"/>
    </w:rPr>
  </w:style>
  <w:style w:type="paragraph" w:customStyle="1" w:styleId="Formule">
    <w:name w:val="Formule"/>
    <w:basedOn w:val="Normal"/>
    <w:rsid w:val="00FA2382"/>
    <w:pPr>
      <w:tabs>
        <w:tab w:val="left" w:pos="7938"/>
      </w:tabs>
      <w:ind w:left="1418"/>
      <w:jc w:val="left"/>
    </w:pPr>
    <w:rPr>
      <w:rFonts w:cs="Arial"/>
    </w:rPr>
  </w:style>
  <w:style w:type="paragraph" w:customStyle="1" w:styleId="Institucija">
    <w:name w:val="Institucija"/>
    <w:basedOn w:val="Normal"/>
    <w:rsid w:val="00DE6D98"/>
    <w:pPr>
      <w:tabs>
        <w:tab w:val="left" w:pos="227"/>
      </w:tabs>
      <w:spacing w:after="0"/>
      <w:ind w:left="227" w:hanging="227"/>
    </w:pPr>
    <w:rPr>
      <w:sz w:val="16"/>
      <w:szCs w:val="16"/>
    </w:rPr>
  </w:style>
  <w:style w:type="character" w:customStyle="1" w:styleId="Heading1Char">
    <w:name w:val="Heading 1 Char"/>
    <w:link w:val="Heading1"/>
    <w:rsid w:val="0099162B"/>
    <w:rPr>
      <w:rFonts w:ascii="Arial" w:hAnsi="Arial" w:cs="Arial"/>
      <w:b/>
      <w:bCs/>
      <w:caps/>
      <w:sz w:val="24"/>
      <w:szCs w:val="24"/>
      <w:lang w:val="sr-Latn-CS"/>
    </w:rPr>
  </w:style>
  <w:style w:type="character" w:customStyle="1" w:styleId="FontStyle31">
    <w:name w:val="Font Style31"/>
    <w:uiPriority w:val="99"/>
    <w:rsid w:val="0099162B"/>
    <w:rPr>
      <w:rFonts w:ascii="Times New Roman" w:hAnsi="Times New Roman" w:cs="Times New Roman" w:hint="default"/>
      <w:sz w:val="20"/>
      <w:szCs w:val="20"/>
    </w:rPr>
  </w:style>
  <w:style w:type="character" w:customStyle="1" w:styleId="fontstyle01">
    <w:name w:val="fontstyle01"/>
    <w:rsid w:val="0099162B"/>
    <w:rPr>
      <w:rFonts w:ascii="81qbholgdpfugch" w:hAnsi="81qbholgdpfugch" w:hint="default"/>
      <w:b w:val="0"/>
      <w:bCs w:val="0"/>
      <w:i w:val="0"/>
      <w:iCs w:val="0"/>
      <w:color w:val="000000"/>
      <w:sz w:val="18"/>
      <w:szCs w:val="18"/>
    </w:rPr>
  </w:style>
  <w:style w:type="character" w:customStyle="1" w:styleId="FontStyle30">
    <w:name w:val="Font Style30"/>
    <w:uiPriority w:val="99"/>
    <w:rsid w:val="0099162B"/>
    <w:rPr>
      <w:rFonts w:ascii="Times New Roman" w:hAnsi="Times New Roman" w:cs="Times New Roman" w:hint="default"/>
      <w:b/>
      <w:bCs/>
      <w:sz w:val="22"/>
      <w:szCs w:val="22"/>
    </w:rPr>
  </w:style>
  <w:style w:type="table" w:customStyle="1" w:styleId="TableGrid1">
    <w:name w:val="Table Grid1"/>
    <w:basedOn w:val="TableNormal"/>
    <w:next w:val="TableGrid"/>
    <w:uiPriority w:val="39"/>
    <w:rsid w:val="00BF3D6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244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AD2E61"/>
    <w:rPr>
      <w:rFonts w:ascii="Century Gothic" w:hAnsi="Century Gothic"/>
      <w:sz w:val="18"/>
      <w:szCs w:val="18"/>
      <w:lang w:val="sr-Latn-CS" w:eastAsia="en-US"/>
    </w:rPr>
  </w:style>
  <w:style w:type="character" w:customStyle="1" w:styleId="HeaderChar">
    <w:name w:val="Header Char"/>
    <w:link w:val="Header"/>
    <w:uiPriority w:val="99"/>
    <w:rsid w:val="00AD2E61"/>
    <w:rPr>
      <w:rFonts w:ascii="Century Gothic" w:hAnsi="Century Gothic"/>
      <w:sz w:val="18"/>
      <w:szCs w:val="18"/>
      <w:lang w:val="sr-Latn-CS" w:eastAsia="en-US"/>
    </w:rPr>
  </w:style>
  <w:style w:type="paragraph" w:styleId="ListParagraph">
    <w:name w:val="List Paragraph"/>
    <w:basedOn w:val="Normal"/>
    <w:uiPriority w:val="34"/>
    <w:qFormat/>
    <w:rsid w:val="00195DE1"/>
    <w:pPr>
      <w:widowControl/>
      <w:spacing w:after="200" w:line="276" w:lineRule="auto"/>
      <w:ind w:left="720"/>
      <w:contextualSpacing/>
      <w:jc w:val="left"/>
    </w:pPr>
    <w:rPr>
      <w:rFonts w:ascii="Calibri" w:eastAsia="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133858">
      <w:bodyDiv w:val="1"/>
      <w:marLeft w:val="0"/>
      <w:marRight w:val="0"/>
      <w:marTop w:val="0"/>
      <w:marBottom w:val="0"/>
      <w:divBdr>
        <w:top w:val="none" w:sz="0" w:space="0" w:color="auto"/>
        <w:left w:val="none" w:sz="0" w:space="0" w:color="auto"/>
        <w:bottom w:val="none" w:sz="0" w:space="0" w:color="auto"/>
        <w:right w:val="none" w:sz="0" w:space="0" w:color="auto"/>
      </w:divBdr>
      <w:divsChild>
        <w:div w:id="282736404">
          <w:marLeft w:val="0"/>
          <w:marRight w:val="0"/>
          <w:marTop w:val="0"/>
          <w:marBottom w:val="0"/>
          <w:divBdr>
            <w:top w:val="none" w:sz="0" w:space="0" w:color="auto"/>
            <w:left w:val="none" w:sz="0" w:space="0" w:color="auto"/>
            <w:bottom w:val="none" w:sz="0" w:space="0" w:color="auto"/>
            <w:right w:val="none" w:sz="0" w:space="0" w:color="auto"/>
          </w:divBdr>
        </w:div>
        <w:div w:id="574778813">
          <w:marLeft w:val="0"/>
          <w:marRight w:val="0"/>
          <w:marTop w:val="0"/>
          <w:marBottom w:val="0"/>
          <w:divBdr>
            <w:top w:val="none" w:sz="0" w:space="0" w:color="auto"/>
            <w:left w:val="none" w:sz="0" w:space="0" w:color="auto"/>
            <w:bottom w:val="none" w:sz="0" w:space="0" w:color="auto"/>
            <w:right w:val="none" w:sz="0" w:space="0" w:color="auto"/>
          </w:divBdr>
        </w:div>
      </w:divsChild>
    </w:div>
    <w:div w:id="723256594">
      <w:bodyDiv w:val="1"/>
      <w:marLeft w:val="0"/>
      <w:marRight w:val="0"/>
      <w:marTop w:val="0"/>
      <w:marBottom w:val="0"/>
      <w:divBdr>
        <w:top w:val="none" w:sz="0" w:space="0" w:color="auto"/>
        <w:left w:val="none" w:sz="0" w:space="0" w:color="auto"/>
        <w:bottom w:val="none" w:sz="0" w:space="0" w:color="auto"/>
        <w:right w:val="none" w:sz="0" w:space="0" w:color="auto"/>
      </w:divBdr>
      <w:divsChild>
        <w:div w:id="1632973652">
          <w:marLeft w:val="0"/>
          <w:marRight w:val="0"/>
          <w:marTop w:val="0"/>
          <w:marBottom w:val="0"/>
          <w:divBdr>
            <w:top w:val="none" w:sz="0" w:space="0" w:color="auto"/>
            <w:left w:val="none" w:sz="0" w:space="0" w:color="auto"/>
            <w:bottom w:val="none" w:sz="0" w:space="0" w:color="auto"/>
            <w:right w:val="none" w:sz="0" w:space="0" w:color="auto"/>
          </w:divBdr>
          <w:divsChild>
            <w:div w:id="1867985062">
              <w:marLeft w:val="0"/>
              <w:marRight w:val="0"/>
              <w:marTop w:val="0"/>
              <w:marBottom w:val="0"/>
              <w:divBdr>
                <w:top w:val="none" w:sz="0" w:space="0" w:color="auto"/>
                <w:left w:val="none" w:sz="0" w:space="0" w:color="auto"/>
                <w:bottom w:val="none" w:sz="0" w:space="0" w:color="auto"/>
                <w:right w:val="none" w:sz="0" w:space="0" w:color="auto"/>
              </w:divBdr>
              <w:divsChild>
                <w:div w:id="1371422023">
                  <w:marLeft w:val="0"/>
                  <w:marRight w:val="0"/>
                  <w:marTop w:val="0"/>
                  <w:marBottom w:val="0"/>
                  <w:divBdr>
                    <w:top w:val="none" w:sz="0" w:space="0" w:color="auto"/>
                    <w:left w:val="none" w:sz="0" w:space="0" w:color="auto"/>
                    <w:bottom w:val="none" w:sz="0" w:space="0" w:color="auto"/>
                    <w:right w:val="none" w:sz="0" w:space="0" w:color="auto"/>
                  </w:divBdr>
                  <w:divsChild>
                    <w:div w:id="1676683636">
                      <w:marLeft w:val="0"/>
                      <w:marRight w:val="0"/>
                      <w:marTop w:val="0"/>
                      <w:marBottom w:val="0"/>
                      <w:divBdr>
                        <w:top w:val="none" w:sz="0" w:space="0" w:color="auto"/>
                        <w:left w:val="none" w:sz="0" w:space="0" w:color="auto"/>
                        <w:bottom w:val="none" w:sz="0" w:space="0" w:color="auto"/>
                        <w:right w:val="none" w:sz="0" w:space="0" w:color="auto"/>
                      </w:divBdr>
                      <w:divsChild>
                        <w:div w:id="454057313">
                          <w:marLeft w:val="0"/>
                          <w:marRight w:val="0"/>
                          <w:marTop w:val="0"/>
                          <w:marBottom w:val="0"/>
                          <w:divBdr>
                            <w:top w:val="none" w:sz="0" w:space="0" w:color="auto"/>
                            <w:left w:val="none" w:sz="0" w:space="0" w:color="auto"/>
                            <w:bottom w:val="none" w:sz="0" w:space="0" w:color="auto"/>
                            <w:right w:val="none" w:sz="0" w:space="0" w:color="auto"/>
                          </w:divBdr>
                          <w:divsChild>
                            <w:div w:id="796795580">
                              <w:marLeft w:val="0"/>
                              <w:marRight w:val="0"/>
                              <w:marTop w:val="240"/>
                              <w:marBottom w:val="0"/>
                              <w:divBdr>
                                <w:top w:val="none" w:sz="0" w:space="0" w:color="auto"/>
                                <w:left w:val="none" w:sz="0" w:space="0" w:color="auto"/>
                                <w:bottom w:val="none" w:sz="0" w:space="0" w:color="auto"/>
                                <w:right w:val="none" w:sz="0" w:space="0" w:color="auto"/>
                              </w:divBdr>
                              <w:divsChild>
                                <w:div w:id="454179892">
                                  <w:marLeft w:val="0"/>
                                  <w:marRight w:val="240"/>
                                  <w:marTop w:val="0"/>
                                  <w:marBottom w:val="0"/>
                                  <w:divBdr>
                                    <w:top w:val="none" w:sz="0" w:space="0" w:color="auto"/>
                                    <w:left w:val="none" w:sz="0" w:space="0" w:color="auto"/>
                                    <w:bottom w:val="none" w:sz="0" w:space="0" w:color="auto"/>
                                    <w:right w:val="none" w:sz="0" w:space="0" w:color="auto"/>
                                  </w:divBdr>
                                </w:div>
                                <w:div w:id="1418593164">
                                  <w:marLeft w:val="0"/>
                                  <w:marRight w:val="240"/>
                                  <w:marTop w:val="0"/>
                                  <w:marBottom w:val="0"/>
                                  <w:divBdr>
                                    <w:top w:val="none" w:sz="0" w:space="0" w:color="auto"/>
                                    <w:left w:val="none" w:sz="0" w:space="0" w:color="auto"/>
                                    <w:bottom w:val="none" w:sz="0" w:space="0" w:color="auto"/>
                                    <w:right w:val="none" w:sz="0" w:space="0" w:color="auto"/>
                                  </w:divBdr>
                                </w:div>
                              </w:divsChild>
                            </w:div>
                            <w:div w:id="1367363919">
                              <w:marLeft w:val="0"/>
                              <w:marRight w:val="0"/>
                              <w:marTop w:val="0"/>
                              <w:marBottom w:val="0"/>
                              <w:divBdr>
                                <w:top w:val="none" w:sz="0" w:space="0" w:color="auto"/>
                                <w:left w:val="none" w:sz="0" w:space="0" w:color="auto"/>
                                <w:bottom w:val="none" w:sz="0" w:space="0" w:color="auto"/>
                                <w:right w:val="none" w:sz="0" w:space="0" w:color="auto"/>
                              </w:divBdr>
                              <w:divsChild>
                                <w:div w:id="1626348007">
                                  <w:marLeft w:val="0"/>
                                  <w:marRight w:val="0"/>
                                  <w:marTop w:val="0"/>
                                  <w:marBottom w:val="0"/>
                                  <w:divBdr>
                                    <w:top w:val="none" w:sz="0" w:space="0" w:color="auto"/>
                                    <w:left w:val="none" w:sz="0" w:space="0" w:color="auto"/>
                                    <w:bottom w:val="none" w:sz="0" w:space="0" w:color="auto"/>
                                    <w:right w:val="none" w:sz="0" w:space="0" w:color="auto"/>
                                  </w:divBdr>
                                  <w:divsChild>
                                    <w:div w:id="168331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os\AppData\Local\Microsoft\Windows\Temporary%20Internet%20Files\Content.IE5\P4DL22HE\XVII%20Simpozij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XVII Simpozijum template</Template>
  <TotalTime>1</TotalTime>
  <Pages>5</Pages>
  <Words>2060</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Име Презиме ; Име Презиме ; Име Презиме</vt:lpstr>
    </vt:vector>
  </TitlesOfParts>
  <Company>saobracajni fakultet</Company>
  <LinksUpToDate>false</LinksUpToDate>
  <CharactersWithSpaces>14143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Име Презиме ; Име Презиме ; Име Презиме</dc:title>
  <dc:subject/>
  <dc:creator>Перо Стефановски</dc:creator>
  <cp:keywords/>
  <dc:description/>
  <cp:lastModifiedBy>Dragan</cp:lastModifiedBy>
  <cp:revision>3</cp:revision>
  <cp:lastPrinted>2011-02-28T11:29:00Z</cp:lastPrinted>
  <dcterms:created xsi:type="dcterms:W3CDTF">2021-08-29T13:30:00Z</dcterms:created>
  <dcterms:modified xsi:type="dcterms:W3CDTF">2021-10-19T08:07:00Z</dcterms:modified>
</cp:coreProperties>
</file>