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3779" w14:textId="77777777" w:rsidR="00D03F1C" w:rsidRDefault="00000000" w:rsidP="00B45F38">
      <w:pPr>
        <w:ind w:firstLine="720"/>
        <w:jc w:val="left"/>
      </w:pPr>
      <w:r>
        <w:t>Драган Станишић</w:t>
      </w:r>
      <w:r>
        <w:rPr>
          <w:vertAlign w:val="superscript"/>
        </w:rPr>
        <w:t>*</w:t>
      </w:r>
    </w:p>
    <w:p w14:paraId="48E90CF9" w14:textId="77777777" w:rsidR="00D03F1C" w:rsidRDefault="00000000" w:rsidP="00B45F38">
      <w:pPr>
        <w:spacing w:after="240"/>
        <w:ind w:firstLine="720"/>
        <w:jc w:val="left"/>
      </w:pPr>
      <w:r>
        <w:footnoteReference w:customMarkFollows="1" w:id="1"/>
        <w:t>Никола Тривић</w:t>
      </w:r>
      <w:r>
        <w:rPr>
          <w:vertAlign w:val="superscript"/>
        </w:rPr>
        <w:t>**</w:t>
      </w:r>
    </w:p>
    <w:p w14:paraId="2FA39B81" w14:textId="77777777" w:rsidR="00D03F1C" w:rsidRDefault="00000000" w:rsidP="00B45F38">
      <w:pPr>
        <w:spacing w:after="480"/>
        <w:ind w:firstLine="720"/>
        <w:jc w:val="center"/>
      </w:pPr>
      <w:r>
        <w:rPr>
          <w:b/>
          <w:caps/>
          <w:sz w:val="28"/>
        </w:rPr>
        <w:footnoteReference w:customMarkFollows="1" w:id="2"/>
        <w:t>ПУНО КАСКО ОСИГУРАЊЕ БЕЗ ПУНОГ ПОКРИЋА</w:t>
      </w:r>
    </w:p>
    <w:p w14:paraId="32915EAF" w14:textId="77777777" w:rsidR="00D03F1C" w:rsidRDefault="00000000" w:rsidP="00B45F38">
      <w:pPr>
        <w:ind w:firstLine="720"/>
        <w:jc w:val="left"/>
      </w:pPr>
      <w:r>
        <w:rPr>
          <w:rFonts w:cs="Times New Roman"/>
        </w:rPr>
        <w:t>Сажетак</w:t>
      </w:r>
    </w:p>
    <w:p w14:paraId="0DEA299B" w14:textId="77777777" w:rsidR="00D03F1C" w:rsidRDefault="00000000" w:rsidP="00B45F38">
      <w:pPr>
        <w:ind w:firstLine="720"/>
      </w:pPr>
      <w:r>
        <w:rPr>
          <w:i/>
          <w:sz w:val="22"/>
        </w:rPr>
        <w:t>Рад анализира проблем општих услова каско осигурања у којима се производ тржишно представља као „пуно каско“, док се накнада послије штете умањује амортизацијом дијелова, франшизама, ограничењем цијене рада и дијелова, непризнавањем дијагностике, калибрације или ПДВ-а, као и одбицима код тоталне штете. Полази се од чл. 143 и 918 Закона о облигационим односима: општи услови не могу бити противни циљу уговора, добрим пословним обичајима нити предвиђати аутоматски губитак права због постуговорних пропуста осигураника. Закључак рада је да пуно каско мора значити стварно пуно покриће, осим за јасно и посебно уговорена ограничења, те да је у БиХ потребна нормативизација минималног садржаја услова каско осигурања и стандардизован обрачун штете.</w:t>
      </w:r>
    </w:p>
    <w:p w14:paraId="6B4AE477" w14:textId="77777777" w:rsidR="00D03F1C" w:rsidRDefault="00000000" w:rsidP="00B45F38">
      <w:pPr>
        <w:spacing w:after="240"/>
        <w:ind w:firstLine="720"/>
        <w:jc w:val="left"/>
      </w:pPr>
      <w:r>
        <w:rPr>
          <w:b/>
          <w:sz w:val="22"/>
        </w:rPr>
        <w:t xml:space="preserve">Кључне ријечи: </w:t>
      </w:r>
      <w:r>
        <w:rPr>
          <w:sz w:val="22"/>
        </w:rPr>
        <w:t>каско осигурање, општи услови, нефер одредбе, ЗОО, франшиза, амортизација, тотална штета, губитак права.</w:t>
      </w:r>
    </w:p>
    <w:p w14:paraId="332B9C2C" w14:textId="77777777" w:rsidR="00D03F1C" w:rsidRDefault="00000000" w:rsidP="00B45F38">
      <w:pPr>
        <w:spacing w:before="240" w:after="120"/>
        <w:ind w:firstLine="720"/>
        <w:jc w:val="center"/>
      </w:pPr>
      <w:r>
        <w:rPr>
          <w:rFonts w:cs="Times New Roman"/>
        </w:rPr>
        <w:t>1. УВОД</w:t>
      </w:r>
    </w:p>
    <w:p w14:paraId="2B13100A" w14:textId="77777777" w:rsidR="00D03F1C" w:rsidRDefault="00000000" w:rsidP="00B45F38">
      <w:pPr>
        <w:ind w:firstLine="720"/>
      </w:pPr>
      <w:r>
        <w:t>Каско осигурање моторног возила има значајну улогу у савременом промету и правном животу. За разлику од обавезног осигурања од аутоодговорности, које првенствено штити трећа оштећена лица, каско осигурање закључује се ради заштите имовинског интереса власника, корисника или другог лица које има оправдан интерес да се на возилу не догоди штета. Његова економска функција јесте да осигуранику, у случају наступања уговореног ризика, обезбиједи накнаду која ће му омогућити да санира посљедице осигураног случаја.</w:t>
      </w:r>
    </w:p>
    <w:p w14:paraId="155B1120" w14:textId="77777777" w:rsidR="00D03F1C" w:rsidRDefault="00000000" w:rsidP="00B45F38">
      <w:pPr>
        <w:ind w:firstLine="720"/>
      </w:pPr>
      <w:r>
        <w:t xml:space="preserve">Управо због тога појам „пуно каско осигурање“ има посебну тржишну и правну тежину. Просјечан осигураник, када плаћа премију за пуно каско осигурање, разумно очекује да ће у случају оштећења, уништења или нестанка возила добити накнаду која одговара стварном обиму штете. Код дјелимичне штете то значи износ потребан за оправку возила по правилима струке и стандарду произвођача. Код тоталне штете то </w:t>
      </w:r>
      <w:r>
        <w:lastRenderedPageBreak/>
        <w:t>значи накнаду која одговара стварној вриједности возила непосредно прије штете, уз правичан, транспарентан и тржишно провјерљив обрачун вриједности остатка.</w:t>
      </w:r>
    </w:p>
    <w:p w14:paraId="61ACA2A8" w14:textId="77777777" w:rsidR="00D03F1C" w:rsidRDefault="00000000" w:rsidP="00B45F38">
      <w:pPr>
        <w:ind w:firstLine="720"/>
      </w:pPr>
      <w:r>
        <w:t>Међутим, пракса показује да појам „пуно каско осигурање“ често није једнак појму пуне накнаде штете. Поједини општи услови осигуравача покриће дефинишу првенствено преко круга осигураних ризика, али истовремено предвиђају бројне механизме умањења накнаде. То значи да осигурање може бити „пуно“ по броју ризика, али не и по економском ефекту накнаде. Осигураник тада сазнаје тек након наступања осигураног случаја да његова накнада неће бити довољна за стварну оправку возила.</w:t>
      </w:r>
    </w:p>
    <w:p w14:paraId="36E9036A" w14:textId="77777777" w:rsidR="00D03F1C" w:rsidRDefault="00000000" w:rsidP="00B45F38">
      <w:pPr>
        <w:ind w:firstLine="720"/>
      </w:pPr>
      <w:r>
        <w:t>Таква ситуација отвара више правних питања. Прво, да ли је осигураник прије закључења уговора могао разумјети стварне економске посљедице општих услова? Друго, да ли су умањења накнаде била јасно истакнута у полиси или су скривена у техничком језику општих услова? Треће, да ли поједине одредбе поништавају сврху закљученог уговора? Четврто, да ли судска пракса правилно примјењује члан 143 ЗОО или се задовољава формалним закључком да је осигураник потписао полису и прихватио услове?</w:t>
      </w:r>
    </w:p>
    <w:p w14:paraId="2434C111" w14:textId="77777777" w:rsidR="00D03F1C" w:rsidRDefault="00000000" w:rsidP="00B45F38">
      <w:pPr>
        <w:ind w:firstLine="720"/>
      </w:pPr>
      <w:r>
        <w:t>Овај рад полази од тезе да се нефер услови каско осигурања не смију посматрати само као проблем појединачних спорова између осигураника и осигуравача. Ријеч је о системском питању тржишта осигурања. Каско осигурање је масовни производ, закључује се путем формуларних услова и намијењен је широком кругу уговарача који најчешће немају стварну могућност преговарања о садржају уговора. Због тога правна сигурност не може зависити само од тога да ли ће поједини осигураник покренути парницу и да ли ће конкретни суд препознати неправичност клаузуле. Потребна је нормативизација минималног садржаја услова каско осигурања.</w:t>
      </w:r>
    </w:p>
    <w:p w14:paraId="16DF6E90" w14:textId="77777777" w:rsidR="00D03F1C" w:rsidRDefault="00000000" w:rsidP="00B45F38">
      <w:pPr>
        <w:ind w:firstLine="720"/>
      </w:pPr>
      <w:r>
        <w:t>Посебно су проблематичне двије групе одредаба. Прву чине одредбе о обрачуну штете, нарочито код дјелимичне штете и тоталне штете. Ту се појављују амортизација дијелова, ограничење цијене рада, непризнавање оригиналних дијелова, непризнавање ПДВ-а, умањење по основу вриједности остатка и додатне франшизе. Другу групу чине клаузуле о губитку права, којима се осигуранику ускраћује право на накнаду због формалних пропуста након настанка осигураног случаја: закашњеле пријаве, непозивања полиције, недостављања кључева или саобраћајне дозволе, промјене стања возила или других постуговорних обавеза.</w:t>
      </w:r>
    </w:p>
    <w:p w14:paraId="14A1456F" w14:textId="77777777" w:rsidR="00D03F1C" w:rsidRDefault="00000000" w:rsidP="00B45F38">
      <w:pPr>
        <w:ind w:firstLine="720"/>
      </w:pPr>
      <w:r>
        <w:t xml:space="preserve">У домаћем праву основни коректив ових одредаба налази се у члану 143 ЗОО. Ова норма омогућава суду да контролише садржај општих услова и да одбије примјену </w:t>
      </w:r>
      <w:r>
        <w:lastRenderedPageBreak/>
        <w:t>одредаба које су противне циљу уговора, добрим пословним обичајима, неправичне или претјерано строге. Код уговора о осигурању додатно је важан члан 918 ЗОО, који изричито забрањује одредбе којима се предвиђа губитак права на накнаду ако осигураник након осигураног случаја не изврши неку уговорену или прописану обавезу.</w:t>
      </w:r>
    </w:p>
    <w:p w14:paraId="09F172DE" w14:textId="77777777" w:rsidR="00D03F1C" w:rsidRDefault="00000000" w:rsidP="00B45F38">
      <w:pPr>
        <w:ind w:firstLine="720"/>
      </w:pPr>
      <w:r>
        <w:t>Полазна хипотеза рада може се изразити једноставно: пуно каско осигурање мора значити стварно пуно покриће, осим у дијелу у којем су ограничења јасно, посебно и разумљиво уговорена. Ако ограничења нису јасна и ако просјечан осигураник не може разумјети њихове економске посљедице, она не смију производити дејство на његову штету.</w:t>
      </w:r>
    </w:p>
    <w:p w14:paraId="0ED06354" w14:textId="77777777" w:rsidR="00D03F1C" w:rsidRDefault="00000000" w:rsidP="00B45F38">
      <w:pPr>
        <w:spacing w:before="240" w:after="120"/>
        <w:ind w:firstLine="720"/>
        <w:jc w:val="center"/>
      </w:pPr>
      <w:r>
        <w:rPr>
          <w:rFonts w:cs="Times New Roman"/>
        </w:rPr>
        <w:t>2. ПРАВНА ПРИРОДА КАСКО ОСИГУРАЊА И ФОРМУЛАРНИ КАРАКТЕР УГОВОРА</w:t>
      </w:r>
    </w:p>
    <w:p w14:paraId="6B7F353A" w14:textId="77777777" w:rsidR="00D03F1C" w:rsidRDefault="00000000" w:rsidP="00B45F38">
      <w:pPr>
        <w:ind w:firstLine="720"/>
      </w:pPr>
      <w:r>
        <w:t>Каско осигурање је добровољно имовинско осигурање. Његова сврха није да осигуранику донесе корист преко вриједности штете, већ да га заштити од имовинског губитка усљед наступања осигураног ризика. У том смислу, каско осигурање је израз начела обештећења: накнада треба да одговара стварној штети у оквиру уговореног покрића.</w:t>
      </w:r>
    </w:p>
    <w:p w14:paraId="0A29D641" w14:textId="77777777" w:rsidR="00D03F1C" w:rsidRDefault="00000000" w:rsidP="00B45F38">
      <w:pPr>
        <w:ind w:firstLine="720"/>
      </w:pPr>
      <w:r>
        <w:t>Уговор о осигурању се у пракси закључује потписивањем полисе или листа покрића. Међутим, полиса у правилу садржи само индивидуализоване елементе уговора: податке о уговарачу, осигуранику, возилу, суми осигурања, премији, трајању осигурања, врсти покрића и евентуалној франшизи. Кључни садржај уговора налази се у општим и посебним условима осигурања. Они уређују осигуране ризике, искључења, обавезе осигураника, поступак пријаве штете, начин утврђивања и процјене штете, начин обрачуна накнаде и разлоге губитка права.</w:t>
      </w:r>
    </w:p>
    <w:p w14:paraId="020D298C" w14:textId="77777777" w:rsidR="00D03F1C" w:rsidRDefault="00000000" w:rsidP="00B45F38">
      <w:pPr>
        <w:ind w:firstLine="720"/>
      </w:pPr>
      <w:r>
        <w:t>ЗОО у члану 142 прописује да општи услови које одређује једна уговорна страна, било да су садржани у формуларном уговору или да се уговор на њих позива, допуњују посебне погодбе и обавезују као и оне, ако су другој страни били познати или морали бити познати у вријеме закључења уговора. У случају неслагања општих услова и посебних погодби, важе посебне погодбе.</w:t>
      </w:r>
      <w:r>
        <w:footnoteReference w:id="3"/>
      </w:r>
    </w:p>
    <w:p w14:paraId="4DFFA099" w14:textId="77777777" w:rsidR="00D03F1C" w:rsidRDefault="00000000" w:rsidP="00B45F38">
      <w:pPr>
        <w:ind w:firstLine="720"/>
      </w:pPr>
      <w:r>
        <w:t xml:space="preserve">Ова норма потврђује да општи услови могу бити дио уговора, али не даје осигуравачу неограничену слободу да преко њих једнострано обликује садржај </w:t>
      </w:r>
      <w:r>
        <w:lastRenderedPageBreak/>
        <w:t>уговорног односа. Напротив, већ члан 142 захтијева да општи услови буду познати или да су морали бити познати другој страни. Члан 143 иде корак даље и омогућава материјалну контролу њиховог садржаја.</w:t>
      </w:r>
    </w:p>
    <w:p w14:paraId="62C0E506" w14:textId="77777777" w:rsidR="00D03F1C" w:rsidRDefault="00000000" w:rsidP="00B45F38">
      <w:pPr>
        <w:ind w:firstLine="720"/>
      </w:pPr>
      <w:r>
        <w:t>Код каско осигурања формуларни карактер уговора посебно је изражен. Осигураник најчешће не преговара о амортизацији дијелова, додатним франшизама, вриједности остатка, условима за губитак права или коначности процјене. Он добија понуђени пакет и може га прихватити или одбити. У таквом односу не може се полазити од претпоставке да је потпис полисе једнак стварној и информисаној сагласности на сваку појединачну клаузулу.</w:t>
      </w:r>
    </w:p>
    <w:p w14:paraId="1D1F070D" w14:textId="77777777" w:rsidR="00D03F1C" w:rsidRDefault="00000000" w:rsidP="00B45F38">
      <w:pPr>
        <w:ind w:firstLine="720"/>
      </w:pPr>
      <w:r>
        <w:t>Овдје се мора разликовати формална и материјална сагласност. Формална сагласност постоји када осигураник потпише полису и тиме прихвати уговор. Материјална сагласност подразумијева да је осигураник могао разумјети битне посљедице уговора. Ако се у полиси наводи „пуно каско“, а тек у општим условима, сложеним и техничким језиком, предвиђају амортизација, додатне франшизе или други одбици, тешко је говорити о стварној сагласности осигураника на такво економско ограничење.</w:t>
      </w:r>
    </w:p>
    <w:p w14:paraId="4A5E3877" w14:textId="77777777" w:rsidR="00D03F1C" w:rsidRDefault="00000000" w:rsidP="00B45F38">
      <w:pPr>
        <w:ind w:firstLine="720"/>
      </w:pPr>
      <w:r>
        <w:t>Због тога се појам „пуно каско“ мора тумачити функционално. Он не смије бити само тржишна ознака. Ако се осигуранику продаје производ који се назива пуним каском, онда осигуравач мора јасно назначити свако ограничење које доводи до тога да накнада неће бити довољна за пуну оправку возила. У противном, назив производа и његов стварни ефекат нису усклађени.</w:t>
      </w:r>
    </w:p>
    <w:p w14:paraId="1BA916A8" w14:textId="77777777" w:rsidR="00D03F1C" w:rsidRDefault="00000000" w:rsidP="00B45F38">
      <w:pPr>
        <w:ind w:firstLine="720"/>
      </w:pPr>
      <w:r>
        <w:t>Пуно каско осигурање зато треба посматрати кроз три елемента: обим покривених ризика, обим признате штете и начин обрачуна накнаде. Први елемент одговара на питање од којих опасности је возило осигурано. Други одговара на питање који трошкови се признају као штета. Трећи одговара на питање колики износ осигураник заиста добија након свих одбитака. Управо трећи елемент често остаје скривен или недовољно разумљив осигуранику.</w:t>
      </w:r>
    </w:p>
    <w:p w14:paraId="40D6F450" w14:textId="77777777" w:rsidR="00D03F1C" w:rsidRDefault="00000000" w:rsidP="00B45F38">
      <w:pPr>
        <w:spacing w:before="240" w:after="120"/>
        <w:ind w:firstLine="720"/>
        <w:jc w:val="center"/>
      </w:pPr>
      <w:r>
        <w:rPr>
          <w:rFonts w:cs="Times New Roman"/>
        </w:rPr>
        <w:t>3. ЧЛАН 143 ЗОО КАО ИНСТРУМЕНТ КОНТРОЛЕ НЕФЕР УСЛОВА</w:t>
      </w:r>
    </w:p>
    <w:p w14:paraId="11676D45" w14:textId="77777777" w:rsidR="00D03F1C" w:rsidRDefault="00000000" w:rsidP="00B45F38">
      <w:pPr>
        <w:ind w:firstLine="720"/>
      </w:pPr>
      <w:r>
        <w:t xml:space="preserve">Члан 143 ЗОО представља основни домаћи инструмент контроле општих услова формуларних уговора. Према овој одредби, ништаве су одредбе општих услова које су противне самом циљу закљученог уговора или добрим пословним обичајима, чак и ако су општи услови одобрени од надлежног органа. Суд може одбити примјену појединих </w:t>
      </w:r>
      <w:r>
        <w:lastRenderedPageBreak/>
        <w:t>одредаба које другу страну лишавају права на приговоре, доводе до губитка права или рокова, или су иначе неправичне или претјерано строге према њој.</w:t>
      </w:r>
      <w:r>
        <w:footnoteReference w:id="4"/>
      </w:r>
    </w:p>
    <w:p w14:paraId="47D79921" w14:textId="77777777" w:rsidR="00D03F1C" w:rsidRDefault="00000000" w:rsidP="00B45F38">
      <w:pPr>
        <w:ind w:firstLine="720"/>
      </w:pPr>
      <w:r>
        <w:t>Ова норма је од посебног значаја за уговоре о осигурању. Осигуравач је професионалац, креатор општих услова и економски јача страна. Осигураник, нарочито физичко лице или мали привредни субјект, у правилу је слабија и информацијски инфериорна страна. Из тог разлога формално укључивање општих услова у уговор не може бити крај анализе. Суд мора испитати да ли конкретна клаузула, у свом стварном ефекту, остаје у границама сврхе уговора и правичне уговорне равнотеже.</w:t>
      </w:r>
    </w:p>
    <w:p w14:paraId="351A4F25" w14:textId="77777777" w:rsidR="00D03F1C" w:rsidRDefault="00000000" w:rsidP="00B45F38">
      <w:pPr>
        <w:ind w:firstLine="720"/>
      </w:pPr>
      <w:r>
        <w:t>Код пуног каско осигурања сврха уговора јесте стварна имовинска заштита осигураника. Ако се ризик оствари, осигураник очекује да накнада буде довољна за отклањање посљедица осигураног случаја. Одредба која формално признаје покриће, али затим кроз обрачун доводи до тога да осигураник мора сам финансирати знатан дио оправке, може бити противна циљу уговора ако такво ограничење није јасно и посебно уговорено.</w:t>
      </w:r>
    </w:p>
    <w:p w14:paraId="4D5B1535" w14:textId="77777777" w:rsidR="00D03F1C" w:rsidRDefault="00000000" w:rsidP="00B45F38">
      <w:pPr>
        <w:ind w:firstLine="720"/>
      </w:pPr>
      <w:r>
        <w:t>Важно је нагласити да члан 143 не забрањује осигуравачу да уговара ограничења. Осигуравач има право да тарифира ризик, уговори франшизу, предвиди искључења, амортизацију или друге елементе обрачуна. Међутим, та ограничења морају бити јасна, транспарентна и сразмјерна. Не смију бити сакривена у општим условима на начин који просјечном осигуранику не омогућава да разумије њихове стварне посљедице.</w:t>
      </w:r>
    </w:p>
    <w:p w14:paraId="3A497922" w14:textId="77777777" w:rsidR="00D03F1C" w:rsidRDefault="00000000" w:rsidP="00B45F38">
      <w:pPr>
        <w:ind w:firstLine="720"/>
      </w:pPr>
      <w:r>
        <w:t>Контрола из члана 143 мора бити функционална. Није одлучујуће како се клаузула назива, већ какав ефекат производи. Ако се одредба назива амортизацијом, али фактички доводи до тога да осигураник сноси дио трошка оправке, она има карактер учешћа у штети. Ако се одредба назива обавезом осигураника, али њено кршење води потпуном губитку права, она има карактер клаузуле о губитку права. Ако се одредба назива вјештачењем, али налаз чини коначним и омогућава побијање само због рачунске грешке, она може ограничити право осигураника на приговор и судску заштиту.</w:t>
      </w:r>
    </w:p>
    <w:p w14:paraId="2FB8CFE4" w14:textId="77777777" w:rsidR="00D03F1C" w:rsidRDefault="00000000" w:rsidP="00B45F38">
      <w:pPr>
        <w:ind w:firstLine="720"/>
      </w:pPr>
      <w:r>
        <w:t xml:space="preserve">У том смислу посебно је проблематична одредба која предвиђа да је налаз вјештака коначан и да обавезује уговорне стране, а може се побијати само због </w:t>
      </w:r>
      <w:r>
        <w:lastRenderedPageBreak/>
        <w:t>рачунске грешке.</w:t>
      </w:r>
      <w:r>
        <w:footnoteReference w:id="5"/>
      </w:r>
      <w:r>
        <w:t xml:space="preserve"> Таква одредба може бити прихватљива само ако се тумачи као покушај мирног рјешавања спора, али не и као искључење права осигураника да у судском поступку оспорава методологију, цијене дијелова, вриједност остатка или примјену амортизације. Ако би се тумачила као забрана оспоравања, она би била противна члану 143 ЗОО.</w:t>
      </w:r>
    </w:p>
    <w:p w14:paraId="600C1CB1" w14:textId="77777777" w:rsidR="00D03F1C" w:rsidRDefault="00000000" w:rsidP="00B45F38">
      <w:pPr>
        <w:ind w:firstLine="720"/>
      </w:pPr>
      <w:r>
        <w:t>Члан 143 треба повезати и са чланом 100 ЗОО, према којем се нејасне одредбе формуларних уговора тумаче у корист стране која није припремила уговор. Код уговора о осигурању ово правило, познато као цонтра проферентем, има појачан значај. Опште услове не саставља осигураник, него осигуравач као професионална и јача уговорна страна. Због тога свака нејасноћа у погледу обима покрића, примјене амортизације, постојања франшизе, обавезе позивања полиције или посљедица закашњеле пријаве мора бити тумачена у корист осигураника. Нејасноћа се не смије претворити у механизам за сужавање покрића након што је премија већ наплаћена.</w:t>
      </w:r>
    </w:p>
    <w:p w14:paraId="4BB59B5A" w14:textId="77777777" w:rsidR="00D03F1C" w:rsidRDefault="00000000" w:rsidP="00B45F38">
      <w:pPr>
        <w:ind w:firstLine="720"/>
      </w:pPr>
      <w:r>
        <w:t>Судови зато не смију прихватити једноставан аргумент: „осигураник је потписао полису“. Потпис полисе доказује закључење уговора, али не доказује правичност сваке одредбе општих услова. Управо супротно, члан 143 постоји зато да би суд и након закључења уговора могао контролисати садржај формуларних клаузула.</w:t>
      </w:r>
    </w:p>
    <w:p w14:paraId="11159880" w14:textId="77777777" w:rsidR="00D03F1C" w:rsidRDefault="00000000" w:rsidP="00B45F38">
      <w:pPr>
        <w:spacing w:before="240" w:after="120"/>
        <w:ind w:firstLine="720"/>
        <w:jc w:val="center"/>
      </w:pPr>
      <w:r>
        <w:rPr>
          <w:rFonts w:cs="Times New Roman"/>
        </w:rPr>
        <w:t>4. ОБРАЧУН ВИСИНЕ ШТЕТЕ КОД ПУНОГ КАСКО ОСИГУРАЊА</w:t>
      </w:r>
    </w:p>
    <w:p w14:paraId="048820F3" w14:textId="77777777" w:rsidR="00D03F1C" w:rsidRDefault="00000000" w:rsidP="00B45F38">
      <w:pPr>
        <w:ind w:firstLine="720"/>
      </w:pPr>
      <w:r>
        <w:t>Обрачун штете је централно питање каско осигурања. Није довољно да је осигурани случај формално признат. Одлучујуће је да ли исплаћена накнада омогућава стварно отклањање посљедица штете. Ако накнада није довољна за оправку возила по правилима струке, пуно каско осигурање не остварује своју функцију.</w:t>
      </w:r>
    </w:p>
    <w:p w14:paraId="7564B176" w14:textId="77777777" w:rsidR="00D03F1C" w:rsidRDefault="00000000" w:rsidP="00B45F38">
      <w:pPr>
        <w:ind w:firstLine="720"/>
      </w:pPr>
      <w:r>
        <w:t>Код дјелимичне штете полазна основа мора бити трошак оправке возила по стандарду произвођача. Савремена возила нису само механички склопови. Она садрже електронске системе, сензоре, камере, радаре, системе асистенције возачу, сигурносне структуре и дијелове чија замјена или поправка захтијева посебне процедуре. Оправка често подразумијева дијагностику, калибрацију, адаптацију, мјерење геометрије, демонтажу ради утврђивања скривених оштећења и рад по техничким упутствима произвођача.</w:t>
      </w:r>
    </w:p>
    <w:p w14:paraId="32F8FBFF" w14:textId="77777777" w:rsidR="00D03F1C" w:rsidRDefault="00000000" w:rsidP="00B45F38">
      <w:pPr>
        <w:ind w:firstLine="720"/>
      </w:pPr>
      <w:r>
        <w:t xml:space="preserve">Ако осигуравач признаје само поједностављени обрачун, без ових трошкова, осигураник не добија пуну накнаду. Он добија износ који можда формално представља </w:t>
      </w:r>
      <w:r>
        <w:lastRenderedPageBreak/>
        <w:t>процјену штете, али није довољан за стварну и безбједну оправку. У таквом случају разлика између признате накнаде и стварног трошка оправке представља прикривено учешће осигураника у штети.</w:t>
      </w:r>
    </w:p>
    <w:p w14:paraId="14E8307E" w14:textId="77777777" w:rsidR="00D03F1C" w:rsidRDefault="00000000" w:rsidP="00B45F38">
      <w:pPr>
        <w:ind w:firstLine="720"/>
      </w:pPr>
      <w:r>
        <w:t>Амортизација дијелова је најчешћи облик таквог прикривеног учешћа. Теоријски, она се заснива на идеји да стари дио има мању вриједност од новог дијела. Међутим, код оправке возила овај аргумент често није одржив. Оштећени дио не може се увијек замијенити половним дијелом истог степена истрошености. Уградња половних дијелова може бити технички неприхватљива, нарочито код сигурносних система, електронских компоненти и дијелова који утичу на безбједност возила. Ако је једина правилна оправка уградња новог дијела, онда накнада мора омогућити уградњу таквог дијела, осим ако је ограничење јасно уговорено.</w:t>
      </w:r>
    </w:p>
    <w:p w14:paraId="2A9916DC" w14:textId="77777777" w:rsidR="00D03F1C" w:rsidRDefault="00000000" w:rsidP="00B45F38">
      <w:pPr>
        <w:ind w:firstLine="720"/>
      </w:pPr>
      <w:r>
        <w:t>У појединим условима осигурања предвиђа се могућност уговарања са или без откупа амортизоване вриједности код дјелимичних штета.</w:t>
      </w:r>
      <w:r>
        <w:footnoteReference w:id="6"/>
      </w:r>
      <w:r>
        <w:t xml:space="preserve"> Таква клаузула сама по себи није недопуштена. Али мора бити јасно објашњена уговарачу осигурања. Ако осигураник не разумије да без откупа амортизације неће добити пуну цијену новог дијела, онда његова одлука није информисана. Осигуравач тада продаје производ који се тржишно доживљава као пуно осигурање, а у стварности даје ограничену накнаду.</w:t>
      </w:r>
    </w:p>
    <w:p w14:paraId="4E0EBB88" w14:textId="77777777" w:rsidR="00D03F1C" w:rsidRDefault="00000000" w:rsidP="00B45F38">
      <w:pPr>
        <w:ind w:firstLine="720"/>
      </w:pPr>
      <w:r>
        <w:t>Франшиза је допуштена ако је отворена, јасна и наведена у полиси. Она може бити уговорена у фиксном износу или проценту од штете. Проблем настаје када се поред јасно уговорене франшизе примјењују додатни одбици који нису посебно истакнути. У појединим условима предвиђају се додатне франшизе за више штета у истом периоду осигурања, тако да код треће штете учешће осигураника може достићи 40%, а код четврте и сваке наредне штете 50% штете, уз минималне износе.</w:t>
      </w:r>
      <w:r>
        <w:footnoteReference w:id="7"/>
      </w:r>
      <w:r>
        <w:t xml:space="preserve"> Такве одредбе битно утичу на економску вриједност осигурања и морају бити посебно истакнуте у полиси.</w:t>
      </w:r>
    </w:p>
    <w:p w14:paraId="263D206E" w14:textId="77777777" w:rsidR="00D03F1C" w:rsidRDefault="00000000" w:rsidP="00B45F38">
      <w:pPr>
        <w:ind w:firstLine="720"/>
      </w:pPr>
      <w:r>
        <w:t xml:space="preserve">Код тоталне штете посебно је важно питање вриједности остатка. Тотална штета се најчешће дефинише као оштећење возила код којег је поправак технички неизводив или економски неисплатив. Међутим, спор настаје када осигуравач од вриједности возила одбија процијењену вриједност остатка. Ако је вриједност остатка утврђена </w:t>
      </w:r>
      <w:r>
        <w:lastRenderedPageBreak/>
        <w:t>превисоко, осигураник формално добија правилно обрачунату накнаду, али фактички сноси губитак јер остатак не може продати по тој цијени.</w:t>
      </w:r>
    </w:p>
    <w:p w14:paraId="1211F581" w14:textId="77777777" w:rsidR="00D03F1C" w:rsidRDefault="00000000" w:rsidP="00B45F38">
      <w:pPr>
        <w:ind w:firstLine="720"/>
      </w:pPr>
      <w:r>
        <w:t>Зато вриједност остатка мора бити тржишно провјерљива. Ако осигуравач тврди да остатак вриједи одређени износ, мора осигуранику омогућити да остатак заиста прода по тој вриједности, или га мора сам преузети. У супротном, осигураник сноси ризик тржишне продаје оштећеног возила, иако је платио каско осигурање ради преноса ризика на осигуравача.</w:t>
      </w:r>
    </w:p>
    <w:p w14:paraId="56040BA9" w14:textId="77777777" w:rsidR="00D03F1C" w:rsidRDefault="00000000" w:rsidP="00B45F38">
      <w:pPr>
        <w:ind w:firstLine="720"/>
      </w:pPr>
      <w:r>
        <w:t>Посебно питање представља ПДВ. Ако осигураник није обвезник ПДВ-а и нема право на одбитак претпореза, ПДВ је саставни дио трошка оправке. Одбијање ПДВ-а значи да осигураник мора сам финансирати дио оправке, што је противно сврси пуног каско осигурања. Код физичких лица то је нарочито очигледно: они не могу поправити возило код регистрованог сервиса без плаћања ПДВ-а, па се износ ПДВ-а не може третирати као апстрактан или непризнат трошак.</w:t>
      </w:r>
    </w:p>
    <w:p w14:paraId="74403C44" w14:textId="77777777" w:rsidR="00D03F1C" w:rsidRDefault="00000000" w:rsidP="00B45F38">
      <w:pPr>
        <w:ind w:firstLine="720"/>
      </w:pPr>
      <w:r>
        <w:t>Обрачун штете мора бити транспарентан и провјерљив. Осигураник мора видјети шта је признато, шта није признато, које цијене дијелова су кориштене, који норматив рада је примијењен, да ли је признат ПДВ, да ли је примијењена амортизација, која франшиза је одбијена и како је утврђена вриједност остатка. Без тога осигураник не може ефикасно оспоравати обрачун.</w:t>
      </w:r>
    </w:p>
    <w:p w14:paraId="5F54EFCB" w14:textId="77777777" w:rsidR="00D03F1C" w:rsidRDefault="00000000" w:rsidP="00B45F38">
      <w:pPr>
        <w:ind w:firstLine="720"/>
      </w:pPr>
      <w:r>
        <w:t>Зато би регулаторно рјешење морало увести обавезан образац обрачуна штете код каско осигурања. Тај образац би морао садржавати: вриједност возила прије штете, суму осигурања, врсту штете, опис оштећења, цијену дијелова, цијену рада, трошкове дијагностике и калибрације, ПДВ, бруто износ оправке, франшизу, амортизацију, друге одбитке, вриједност остатка и коначну накнаду. Сваки непризнати трошак морао би бити посебно образложен.</w:t>
      </w:r>
    </w:p>
    <w:p w14:paraId="58801895" w14:textId="77777777" w:rsidR="00D03F1C" w:rsidRDefault="00000000" w:rsidP="00B45F38">
      <w:pPr>
        <w:spacing w:before="240" w:after="120"/>
        <w:ind w:firstLine="720"/>
        <w:jc w:val="center"/>
      </w:pPr>
      <w:r>
        <w:rPr>
          <w:rFonts w:cs="Times New Roman"/>
        </w:rPr>
        <w:t>5. ГУБИТАК ПРАВА ИЗ КАСКО ОСИГУРАЊА</w:t>
      </w:r>
    </w:p>
    <w:p w14:paraId="453C042A" w14:textId="77777777" w:rsidR="00D03F1C" w:rsidRDefault="00000000" w:rsidP="00B45F38">
      <w:pPr>
        <w:ind w:firstLine="720"/>
      </w:pPr>
      <w:r>
        <w:t>Клаузуле о губитку права представљају најстрожу посљедицу за осигураника. Њихова примјена не значи само умањење накнаде, него потпуно ослобађање осигуравача од обавезе исплате, иако је осигурани случај наступио. Због тога ове клаузуле морају бити предмет најстроже контроле.</w:t>
      </w:r>
    </w:p>
    <w:p w14:paraId="2A7898A6" w14:textId="77777777" w:rsidR="00D03F1C" w:rsidRDefault="00000000" w:rsidP="00B45F38">
      <w:pPr>
        <w:ind w:firstLine="720"/>
      </w:pPr>
      <w:r>
        <w:t xml:space="preserve">ЗОО у члану 917 прописује обавезу осигураника да обавијести осигуравача о наступању осигураног случаја. Међутим, посљедица закашњења није губитак права, него обавеза осигураника да надокнади осигуравачу штету коју је због тога имао. Члан 918 затим прописује да су ништаве одредбе уговора које предвиђају губитак права на </w:t>
      </w:r>
      <w:r>
        <w:lastRenderedPageBreak/>
        <w:t>накнаду или своту осигурања ако осигураник послије наступања осигураног случаја не изврши неку прописану или уговорену обавезу.</w:t>
      </w:r>
      <w:r>
        <w:footnoteReference w:id="8"/>
      </w:r>
    </w:p>
    <w:p w14:paraId="6F84E687" w14:textId="77777777" w:rsidR="00D03F1C" w:rsidRDefault="00000000" w:rsidP="00B45F38">
      <w:pPr>
        <w:ind w:firstLine="720"/>
      </w:pPr>
      <w:r>
        <w:t>Ове одредбе успостављају јасно правило: обавезе осигураника након осигураног случаја постоје, али њихово кршење не може аутоматски уништити право из осигурања. Осигуравач може истицати да је због пропуста претрпио штету, да је отежано доказивање, да је штета увећана или да постоји превара. Међутим, те околности мора доказати.</w:t>
      </w:r>
    </w:p>
    <w:p w14:paraId="588CBB28" w14:textId="77777777" w:rsidR="00D03F1C" w:rsidRDefault="00000000" w:rsidP="00B45F38">
      <w:pPr>
        <w:ind w:firstLine="720"/>
      </w:pPr>
      <w:r>
        <w:t>Посебно су проблематичне клаузуле којима се штета мора пријавити у изразито кратком року, нарочито у року од 24 часа, уз санкцију потпуног губитка права. Такав рок може имати организациони значај за осигуравача, али његово пропуштање не може аутоматски поништити право из осигурања. Одлучно је да ли је због закашњења осигуравач заиста претрпио штету или је онемогућено утврђивање осигураног случаја. У супротном, помоћна обавеза осигураника претвара се у средство ослобађања осигуравача од основне уговорне обавезе.</w:t>
      </w:r>
    </w:p>
    <w:p w14:paraId="29F4DFF3" w14:textId="77777777" w:rsidR="00D03F1C" w:rsidRDefault="00000000" w:rsidP="00B45F38">
      <w:pPr>
        <w:ind w:firstLine="720"/>
      </w:pPr>
      <w:r>
        <w:t>Непозивање полиције такође не може аутоматски водити одбијању захтјева. Обавеза позивања полиције има легитимну сврху, нарочито код саобраћајних незгода, алкохола, спора о одговорности или сумње у превару. Међутим, ако постоје други поуздани докази о настанку штете — фотографије, изјаве, европски извјештај, преглед возила, вјештачење — формално непозивање полиције не смије само по себи поништити осигуравајуће покриће.</w:t>
      </w:r>
    </w:p>
    <w:p w14:paraId="32402EC4" w14:textId="77777777" w:rsidR="00D03F1C" w:rsidRDefault="00000000" w:rsidP="00B45F38">
      <w:pPr>
        <w:ind w:firstLine="720"/>
      </w:pPr>
      <w:r>
        <w:t>Код крађе возила посебну пажњу заслужују клаузуле о предаји оригиналних кључева и саобраћајне дозволе. Осигуравач има легитиман интерес да спријечи фингиране крађе. Међутим, ако су кључеви украдени прије крађе возила, или су документи остали у возилу у околностима које не указују на превару или грубу непажњу, аутоматски губитак права био би претјерано строг.</w:t>
      </w:r>
    </w:p>
    <w:p w14:paraId="634EE599" w14:textId="77777777" w:rsidR="00D03F1C" w:rsidRDefault="00000000" w:rsidP="00B45F38">
      <w:pPr>
        <w:ind w:firstLine="720"/>
      </w:pPr>
      <w:r>
        <w:t>Врховни суд Федерације БиХ је у пресуди број 070-0-Рев-08-001332 од 17.12.2009 заузео став да осигураник који је возило оставио у закључаној гаражи, а кључеве у закључаној породичној кући, није поступао намјерно, преварно нити грубом непажњом.</w:t>
      </w:r>
      <w:r>
        <w:footnoteReference w:id="9"/>
      </w:r>
      <w:r>
        <w:t xml:space="preserve"> Ова одлука правилно полази од конкретних околности и сврхе уговора. Крађа је управо ризик од којег се осигураник осигурава. Ако се клаузула о кључевима </w:t>
      </w:r>
      <w:r>
        <w:lastRenderedPageBreak/>
        <w:t>примијени механички, без оцјене понашања осигураника, уговор о каско осигурању губи своју функцију.</w:t>
      </w:r>
    </w:p>
    <w:p w14:paraId="64CB1AF6" w14:textId="77777777" w:rsidR="00D03F1C" w:rsidRDefault="00000000" w:rsidP="00B45F38">
      <w:pPr>
        <w:ind w:firstLine="720"/>
      </w:pPr>
      <w:r>
        <w:t>Сличан приступ заузео је Кантонални суд у Сарајеву у пресуди број 65 0 Пс 056548 10 Пж од 22.03.2013, оцјењујући као неправичну и претјерано строгу одредбу општих услова којом се искључује одговорност осигуравача када осигураник након крађе не може предочити оригиналне кључеве и саобраћајну дозволу, у ситуацији када је до крађе возила дошло након крађе кључа.</w:t>
      </w:r>
      <w:r>
        <w:footnoteReference w:id="10"/>
      </w:r>
    </w:p>
    <w:p w14:paraId="5ED63D49" w14:textId="77777777" w:rsidR="00D03F1C" w:rsidRDefault="00000000" w:rsidP="00B45F38">
      <w:pPr>
        <w:ind w:firstLine="720"/>
      </w:pPr>
      <w:r>
        <w:t>Насупрот томе, у дијелу судске праксе постоји формалистички приступ. У раду Шабић Учанбарлић и Лазић Буљан наводе се одлуке Врховног суда ФБиХ број 65 0 Пс 334559 20 Рев од 07.04.2021 и 58 0 Пс 127031 16 Рев од 03.09.2019, у којима је питање недостављања оригиналних кључева и саобраћајне дозволе имало одлучујући значај за исход спора.</w:t>
      </w:r>
      <w:r>
        <w:footnoteReference w:id="11"/>
      </w:r>
      <w:r>
        <w:t xml:space="preserve"> Ове одлуке треба додатно анализирати на основу пуног текста, али већ њихово постојање показује неуједначеност праксе.</w:t>
      </w:r>
    </w:p>
    <w:p w14:paraId="5BFA0544" w14:textId="77777777" w:rsidR="00D03F1C" w:rsidRDefault="00000000" w:rsidP="00B45F38">
      <w:pPr>
        <w:ind w:firstLine="720"/>
      </w:pPr>
      <w:r>
        <w:t>Алкохолисаност и напуштање мјеста незгоде представљају посебан проблем. Ако је доказано да је возач био алкохолисан и да је алкохолисаност у узрочној вези са настанком незгоде, осигуравач има снажан основ за искључење или губитак права, зависно од формулације услова и законских правила. Међутим, ако се алкохолисаност само претпоставља зато што није позвана полиција или није извршено тестирање, суд мора бити опрезан. Претпоставка не смије замијенити доказивање ако води потпуном губитку права.</w:t>
      </w:r>
    </w:p>
    <w:p w14:paraId="21A8E330" w14:textId="77777777" w:rsidR="00D03F1C" w:rsidRDefault="00000000" w:rsidP="00B45F38">
      <w:pPr>
        <w:ind w:firstLine="720"/>
      </w:pPr>
      <w:r>
        <w:t>Упоредна пракса држава насталих из заједничког система Закона о облигационим односима потврђује да се одредбе о губитку права због обавеза осигураника након наступања осигураног случаја морају тумачити рестриктивно. Врховни суд Републике Хрватске у више одлука заузео је став да су ништаве одредбе каско услова којима се осигуранику налаже да након саобраћајне незгоде обезбиједи контролу алкохолисаности или позове полицију под пријетњом губитка права из осигурања, јер се ради о обавезама које настају након осигураног случаја.</w:t>
      </w:r>
      <w:r>
        <w:footnoteReference w:id="12"/>
      </w:r>
      <w:r>
        <w:t xml:space="preserve"> У одлуци Рев 2969/2016-3 Врховни суд Републике Хрватске додатно је потврдио да такве </w:t>
      </w:r>
      <w:r>
        <w:lastRenderedPageBreak/>
        <w:t>клаузуле не могу дерогирати законску заштиту осигураника и да наведено правно схватање представља устаљену праксу.</w:t>
      </w:r>
      <w:r>
        <w:footnoteReference w:id="13"/>
      </w:r>
    </w:p>
    <w:p w14:paraId="672067FA" w14:textId="77777777" w:rsidR="00D03F1C" w:rsidRDefault="00000000" w:rsidP="00B45F38">
      <w:pPr>
        <w:ind w:firstLine="720"/>
      </w:pPr>
      <w:r>
        <w:t>Сличан став заузео је и Врховни суд Србије у правном схватању Грађанског одјељења од 18.03.1991, према којем осигураник не губи право на накнаду из каско осигурања ако након наступања осигураног случаја не обавијести орган унутрашњих послова или осигуравача у прописаном року. Пропуштање таквих обавеза може имати само посљедицу евентуалне одговорности осигураника за штету коју би осигуравач због тога претрпио, али не и губитак права из осигурања, чак и када би таква посљедица била предвиђена условима осигурања.</w:t>
      </w:r>
      <w:r>
        <w:footnoteReference w:id="14"/>
      </w:r>
    </w:p>
    <w:p w14:paraId="6141BCDB" w14:textId="77777777" w:rsidR="00D03F1C" w:rsidRDefault="00000000" w:rsidP="00B45F38">
      <w:pPr>
        <w:ind w:firstLine="720"/>
      </w:pPr>
      <w:r>
        <w:t>Овакво тумачење потврђено је и у регулаторној пракси Републике Српске. Омбудсман у осигурању Републике Српске у Општој препоруци број 06-603-2/11 од 12.12.2011. године заузео је став да су ништаве одредбе услова осигурања којима се предвиђа губитак права из осигурања због неизвршења одређених обавеза након наступања осигураног случаја, уколико то неизвршење није утицало на наступање осигураног случаја нити на могућност утврђивања његових посљедица.</w:t>
      </w:r>
      <w:r>
        <w:footnoteReference w:id="15"/>
      </w:r>
      <w:r>
        <w:t xml:space="preserve"> Регулаторни став је нарочито значајан јер потврђује да члан 918 ЗОО није само диспозитивно правило о понашању уговорних страна, него заштитна норма којом се ограничава могућност осигуравача да кроз опште услове прошири основе за ослобађање од обавезе накнаде.</w:t>
      </w:r>
    </w:p>
    <w:p w14:paraId="31F71200" w14:textId="77777777" w:rsidR="00D03F1C" w:rsidRDefault="00000000" w:rsidP="00B45F38">
      <w:pPr>
        <w:ind w:firstLine="720"/>
      </w:pPr>
      <w:r>
        <w:t>Суштина проблема није само у томе што су поједине клаузуле строге, него у томе што осигуравач њима покушава да прошири законске основе за ослобађање од обавезе накнаде. Закон допушта да осигуравач буде заштићен од преваре, намјере, грубе непажње и стварног отежавања доказивања. Међутим, општи услови не могу формалне и помоћне обавезе осигураника претворити у самосталне разлоге за губитак права, независно од узрочне везе и стварне штете за осигуравача.</w:t>
      </w:r>
    </w:p>
    <w:p w14:paraId="6E7A47D0" w14:textId="77777777" w:rsidR="00D03F1C" w:rsidRDefault="00000000" w:rsidP="00B45F38">
      <w:pPr>
        <w:ind w:firstLine="720"/>
      </w:pPr>
      <w:r>
        <w:t xml:space="preserve">Промјена стања возила прије увиђаја такође не смије бити механички санкционисана. Осигураник често мора уклонити возило са пута, заштитити га од даљег пропадања или га превести до сервиса. Ако је промјена била потребна ради јавног интереса или спречавања веће штете, не може бити основ за губитак права. </w:t>
      </w:r>
      <w:r>
        <w:lastRenderedPageBreak/>
        <w:t>Осигуравач може захтијевати накнаду штете само ако докаже да је због промјене стања стварно оштећен у доказивању.</w:t>
      </w:r>
    </w:p>
    <w:p w14:paraId="6421F125" w14:textId="77777777" w:rsidR="00D03F1C" w:rsidRDefault="00000000" w:rsidP="00B45F38">
      <w:pPr>
        <w:ind w:firstLine="720"/>
      </w:pPr>
      <w:r>
        <w:t>Закључно, губитак права из каско осигурања може бити оправдан само изузетно. Потребно је утврдити: да ли се обавеза односи на понашање прије или послије осигураног случаја; да ли постоји узрочна веза између повреде обавезе и настанка или доказивања штете; да ли је осигуравач претрпио конкретну штету; да ли је клаузула јасна и посебно истакнута; да ли је посљедица сразмјерна. Без таквог теста, клаузуле о губитку права постају средство за избјегавање обавезе осигуравача.</w:t>
      </w:r>
    </w:p>
    <w:p w14:paraId="052CF894" w14:textId="77777777" w:rsidR="00D03F1C" w:rsidRDefault="00000000" w:rsidP="00B45F38">
      <w:pPr>
        <w:spacing w:before="240" w:after="120"/>
        <w:ind w:firstLine="720"/>
        <w:jc w:val="center"/>
      </w:pPr>
      <w:r>
        <w:rPr>
          <w:rFonts w:cs="Times New Roman"/>
        </w:rPr>
        <w:t>6. КРИТИКА СУДСКЕ ПРАКСЕ КОЈА СЛОБОДУ УГОВАРАЊА СТАВЉА ИСПРЕД СВРХЕ УГОВОРА</w:t>
      </w:r>
    </w:p>
    <w:p w14:paraId="2948FAF7" w14:textId="77777777" w:rsidR="00D03F1C" w:rsidRDefault="00000000" w:rsidP="00B45F38">
      <w:pPr>
        <w:ind w:firstLine="720"/>
      </w:pPr>
      <w:r>
        <w:t>У домаћој судској пракси могу се препознати два правца. Први, афирмативни правац, полази од сврхе уговора, члана 143 и члана 918 ЗОО. Други, формалистички правац, полази од чињенице да је осигураник потписао полису и да су општи услови саставни дио уговора, па готово аутоматски прихвата њихову примјену.</w:t>
      </w:r>
    </w:p>
    <w:p w14:paraId="6FD0AE38" w14:textId="77777777" w:rsidR="00D03F1C" w:rsidRDefault="00000000" w:rsidP="00B45F38">
      <w:pPr>
        <w:ind w:firstLine="720"/>
      </w:pPr>
      <w:r>
        <w:t>Формалистички приступ је погрешан. Слобода уговарања јесте једно од основних начела облигационог права, али није апсолутна. Она је ограничена принудним прописима, моралом друштва, начелом савјесности и поштења, забраном злоупотребе права и самом сврхом уговора. Зато се у споровима из каско осигурања не може стати на закључку да је уговор потписан.</w:t>
      </w:r>
    </w:p>
    <w:p w14:paraId="33B8880A" w14:textId="77777777" w:rsidR="00D03F1C" w:rsidRDefault="00000000" w:rsidP="00B45F38">
      <w:pPr>
        <w:ind w:firstLine="720"/>
      </w:pPr>
      <w:r>
        <w:t>Проблем формалистичке праксе јесте у томе што потпис полисе третира као замјену за контролу правичности. Такав приступ погодује осигуравачу као творцу општих услова и занемарује формуларни карактер уговора. Осигураник није преговарао о клаузулама. Он често није ни могао разумјети њихов стварни економски домашај. Ако суд ипак примијени сваку одредбу само зато што је била дио општих услова, члан 143 ЗОО остаје без практичног значаја.</w:t>
      </w:r>
    </w:p>
    <w:p w14:paraId="4947BE79" w14:textId="77777777" w:rsidR="00D03F1C" w:rsidRDefault="00000000" w:rsidP="00B45F38">
      <w:pPr>
        <w:ind w:firstLine="720"/>
      </w:pPr>
      <w:r>
        <w:t>Посебно је неприхватљиво када се слобода уговарања афирмише испред сврхе уговора. Уговор о пуном каско осигурању закључује се ради заштите од штете на возилу. Ако се ризик оствари, а осигуравач одбије исплату или исплати износ недовољан за оправку због скривене или претјерано строге клаузуле, суд мора испитати да ли је такав резултат у складу са циљем уговора. Слобода уговарања не може заштитити клаузулу која поништава оно због чега је уговор закључен.</w:t>
      </w:r>
    </w:p>
    <w:p w14:paraId="606315CD" w14:textId="77777777" w:rsidR="00D03F1C" w:rsidRDefault="00000000" w:rsidP="00B45F38">
      <w:pPr>
        <w:ind w:firstLine="720"/>
      </w:pPr>
      <w:r>
        <w:t xml:space="preserve">Због тога судски тест не смије гласити само: да ли је осигураник потписао полису? Право питање је: да ли би разуман осигураник, да је јасно знао за стварну </w:t>
      </w:r>
      <w:r>
        <w:lastRenderedPageBreak/>
        <w:t>посљедицу спорне клаузуле, закључио исти уговор под истим условима? Ако би одговор био негативан, постоји озбиљан основ да се клаузула оцијени као неправична, претјерано строга или противна циљу уговора.</w:t>
      </w:r>
    </w:p>
    <w:p w14:paraId="54483E40" w14:textId="77777777" w:rsidR="00D03F1C" w:rsidRDefault="00000000" w:rsidP="00B45F38">
      <w:pPr>
        <w:ind w:firstLine="720"/>
      </w:pPr>
      <w:r>
        <w:t>У пракси то значи да суд мора испитати конкретни економски ефекат клаузуле. Амортизација није само технички обрачун ако доводи до тога да осигураник не може поправити возило. Додатна франшиза није споредно правило ако код треће или четврте штете пребацује 40% или 50% штете на осигураника. Коначност вјештачења није неутрална процесна одредба ако осигуранику ускраћује право да оспорава погрешан обрачун. Обавеза предаје кључева није апсолутна ако су кључеви претходно украдени без кривице осигураника.</w:t>
      </w:r>
    </w:p>
    <w:p w14:paraId="728902DA" w14:textId="77777777" w:rsidR="00D03F1C" w:rsidRDefault="00000000" w:rsidP="00B45F38">
      <w:pPr>
        <w:ind w:firstLine="720"/>
      </w:pPr>
      <w:r>
        <w:t>Афирмативни правац судске праксе треба развијати. Одлуке које полазе од сврхе уговора, правичности и сразмјерности представљају исправан правац. Насупрот томе, одлуке које механички примјењују опште услове зато што су формално прихваћени треба критички преиспитати.</w:t>
      </w:r>
    </w:p>
    <w:p w14:paraId="0D3F4ABA" w14:textId="77777777" w:rsidR="00D03F1C" w:rsidRDefault="00000000" w:rsidP="00B45F38">
      <w:pPr>
        <w:ind w:firstLine="720"/>
      </w:pPr>
      <w:r>
        <w:t>Судови морају имати у виду да је каско осигурање тржишни производ који се продаје широком кругу лица. Ако судска пракса дозволи да осигуравачи кроз опште услове стварају привид пуног покрића, а затим након штете исплаћују само дјелимичну накнаду, нарушава се повјерење у тржиште осигурања. Зато судска контрола није усмјерена против осигуравача, него у корист правне сигурности и поштене тржишне утакмице.</w:t>
      </w:r>
    </w:p>
    <w:p w14:paraId="502279D7" w14:textId="77777777" w:rsidR="00D03F1C" w:rsidRDefault="00000000" w:rsidP="00B45F38">
      <w:pPr>
        <w:spacing w:before="240" w:after="120"/>
        <w:ind w:firstLine="720"/>
        <w:jc w:val="center"/>
      </w:pPr>
      <w:r>
        <w:rPr>
          <w:rFonts w:cs="Times New Roman"/>
        </w:rPr>
        <w:t>7. ЕВРОПСКИ СТАНДАРДИ И КОМПАРАТИВНИ ОКВИР</w:t>
      </w:r>
    </w:p>
    <w:p w14:paraId="55A916C1" w14:textId="77777777" w:rsidR="00D03F1C" w:rsidRDefault="00000000" w:rsidP="00B45F38">
      <w:pPr>
        <w:ind w:firstLine="720"/>
      </w:pPr>
      <w:r>
        <w:t>Европско право заштите потрошача пружа користан упоредни оквир за контролу општих услова каско осигурања. Најважнији извор је Директива 93/13/EEZ о непоштеним одредбама у потрошачким уговорима. Према тој директиви, непоштена је одредба која није индивидуално уговорена и која, противно захтјеву добре вјере, ствара значајну неравнотежу у правима и обавезама уговорних страна на штету потрошача.</w:t>
      </w:r>
      <w:r>
        <w:footnoteReference w:id="16"/>
      </w:r>
    </w:p>
    <w:p w14:paraId="52DAC84C" w14:textId="77777777" w:rsidR="00D03F1C" w:rsidRDefault="00000000" w:rsidP="00B45F38">
      <w:pPr>
        <w:ind w:firstLine="720"/>
      </w:pPr>
      <w:r>
        <w:t>Овај стандард је близак члану 143 ЗОО. Оба приступа полазе од идеје да формуларне одредбе не смију бити неправичне и да слабија уговорна страна мора бити заштићена од наметнутих клаузула које нарушавају уговорну равнотежу.</w:t>
      </w:r>
    </w:p>
    <w:p w14:paraId="2E42F1D0" w14:textId="77777777" w:rsidR="00D03F1C" w:rsidRDefault="00000000" w:rsidP="00B45F38">
      <w:pPr>
        <w:ind w:firstLine="720"/>
      </w:pPr>
      <w:r>
        <w:t xml:space="preserve">Посебно је важан предмет Ван Хове против CNP Ассуранцес SA, C-96/14, јер се односио на уговор о осигурању. Суд правде Европске уније разматрао је питање </w:t>
      </w:r>
      <w:r>
        <w:lastRenderedPageBreak/>
        <w:t>транспарентности клаузула које утичу на обим осигуравајућег покрића. Суштина стандарда је да потрошач мора моћи разумјети не само граматички текст клаузуле, него и њен стварни економски домашај.</w:t>
      </w:r>
      <w:r>
        <w:footnoteReference w:id="17"/>
      </w:r>
    </w:p>
    <w:p w14:paraId="5943891C" w14:textId="77777777" w:rsidR="00D03F1C" w:rsidRDefault="00000000" w:rsidP="00B45F38">
      <w:pPr>
        <w:ind w:firstLine="720"/>
      </w:pPr>
      <w:r>
        <w:t>Овај приступ додатно је развијен у предметима Кáслер, C-26/13, и Андрициуц, C-186/16. Суд правде ЕУ нагласио је да транспарентност није само језичка разумљивост. Потрошач мора моћи, на основу јасних и разумљивих критеријума, процијенити економске посљедице које клаузула за њега производи.</w:t>
      </w:r>
      <w:r>
        <w:footnoteReference w:id="18"/>
      </w:r>
    </w:p>
    <w:p w14:paraId="0EEFDB21" w14:textId="77777777" w:rsidR="00D03F1C" w:rsidRDefault="00000000" w:rsidP="00B45F38">
      <w:pPr>
        <w:ind w:firstLine="720"/>
      </w:pPr>
      <w:r>
        <w:t>Примијењено на каско осигурање, то значи да није довољно да општи услови садрже појмове као што су амортизација, франшиза, вриједност остатка или откуп амортизоване вриједности. Осигураник мора разумјети колико ће ти појмови умањити његову накнаду. Ако то не може разумјети, клаузула није материјално транспарентна.</w:t>
      </w:r>
    </w:p>
    <w:p w14:paraId="22B6404E" w14:textId="77777777" w:rsidR="00D03F1C" w:rsidRDefault="00000000" w:rsidP="00B45F38">
      <w:pPr>
        <w:ind w:firstLine="720"/>
      </w:pPr>
      <w:r>
        <w:t>Четврта и пета моторна директива EU односе се првенствено на обавезно осигурање од грађанске одговорности за употребу моторних возила, а не директно на каско осигурање. Међутим, оне су релевантне као показатељ европске политике у области моторног осигурања: правила морају бити јасна, корисник осигурања мора бити заштићен, а поступак остваривања права мора бити ефикасан. Директива 2009/103/EC касније кодификује раније моторне директиве.</w:t>
      </w:r>
      <w:r>
        <w:footnoteReference w:id="19"/>
      </w:r>
    </w:p>
    <w:p w14:paraId="44CDB678" w14:textId="77777777" w:rsidR="00D03F1C" w:rsidRDefault="00000000" w:rsidP="00B45F38">
      <w:pPr>
        <w:ind w:firstLine="720"/>
      </w:pPr>
      <w:r>
        <w:t>Иако БиХ није чланица EU, ови стандарди су важни из два разлога. Прво, они представљају савремени европски правни стандард заштите потрошача и осигураника. Друго, домаће право већ садржи норме које омогућавају сличан резултат, нарочито чланове 143 и 918 ЗОО. Зато није потребно чекати посебну хармонизацију да би судови примијенили материјалну контролу нефер услова.</w:t>
      </w:r>
    </w:p>
    <w:p w14:paraId="22DDF409" w14:textId="77777777" w:rsidR="00D03F1C" w:rsidRDefault="00000000" w:rsidP="00B45F38">
      <w:pPr>
        <w:spacing w:before="240" w:after="120"/>
        <w:ind w:firstLine="720"/>
        <w:jc w:val="center"/>
      </w:pPr>
      <w:r>
        <w:rPr>
          <w:rFonts w:cs="Times New Roman"/>
        </w:rPr>
        <w:t>8. ПОТРЕБА НОРМАТИВИЗАЦИЈЕ И УНИФИКАЦИЈЕ УСЛОВА КАСКО ОСИГУРАЊА</w:t>
      </w:r>
    </w:p>
    <w:p w14:paraId="37E7B9F6" w14:textId="77777777" w:rsidR="00D03F1C" w:rsidRDefault="00000000" w:rsidP="00B45F38">
      <w:pPr>
        <w:ind w:firstLine="720"/>
      </w:pPr>
      <w:r>
        <w:t>Појединачна судска заштита није довољна за рјешавање проблема нефер услова каско осигурања. Каско осигурање је масовни производ, а спорне клаузуле налазе се у општим условима који се примјењују на велики број уговора. Због тога је потребна нормативизација минималног садржаја услова осигурања.</w:t>
      </w:r>
    </w:p>
    <w:p w14:paraId="4FD5F127" w14:textId="77777777" w:rsidR="00D03F1C" w:rsidRDefault="00000000" w:rsidP="00B45F38">
      <w:pPr>
        <w:ind w:firstLine="720"/>
      </w:pPr>
      <w:r>
        <w:lastRenderedPageBreak/>
        <w:t>Прво, потребно је јасно дефинисати појам пуног каско осигурања. Ако производ који се продаје као пуно каско не покрива пуну цијену оправке по стандарду произвођача, то мора бити изричито назначено. Не смије се дозволити да тржишни назив ствара очекивање које уговорни текст касније поништава.</w:t>
      </w:r>
    </w:p>
    <w:p w14:paraId="5D913664" w14:textId="77777777" w:rsidR="00D03F1C" w:rsidRDefault="00000000" w:rsidP="00B45F38">
      <w:pPr>
        <w:ind w:firstLine="720"/>
      </w:pPr>
      <w:r>
        <w:t>Друго, сва учешћа осигураника у штети морају бити наведена у полиси. То не укључује само отворену франшизу, већ и амортизацију, додатне франшизе, ограничења цијене дијелова и рада, посебна правила за одређене дијелове, умањење по основу вриједности остатка и сва друга ограничења која утичу на коначну накнаду.</w:t>
      </w:r>
    </w:p>
    <w:p w14:paraId="26E07046" w14:textId="77777777" w:rsidR="00D03F1C" w:rsidRDefault="00000000" w:rsidP="00B45F38">
      <w:pPr>
        <w:ind w:firstLine="720"/>
      </w:pPr>
      <w:r>
        <w:t>Треће, осигуравач би прије закључења уговора морао дати информативни примјер обрачуна дјелимичне и тоталне штете. Такав примјер би показао како се од бруто износа штете долази до износа за исплату. Тиме би осигураник могао разумјети стварну економску вриједност осигуравајућег производа.</w:t>
      </w:r>
    </w:p>
    <w:p w14:paraId="0B3FEE05" w14:textId="77777777" w:rsidR="00D03F1C" w:rsidRDefault="00000000" w:rsidP="00B45F38">
      <w:pPr>
        <w:ind w:firstLine="720"/>
      </w:pPr>
      <w:r>
        <w:t>Четврто, обрачун штете мора бити стандардизован. Сваки обрачун треба да садржи: опис оштећења, признате дијелове, цијену дијелова, цијену рада, норматив рада, ПДВ, трошкове дијагностике, износ франшизе, износ амортизације, друге одбитке, вриједност остатка код тоталне штете и коначну накнаду. Свако непризнавање трошка мора бити образложено.</w:t>
      </w:r>
    </w:p>
    <w:p w14:paraId="2E9AFF53" w14:textId="77777777" w:rsidR="00D03F1C" w:rsidRDefault="00000000" w:rsidP="00B45F38">
      <w:pPr>
        <w:ind w:firstLine="720"/>
      </w:pPr>
      <w:r>
        <w:t>Пето, код тоталне штете вриједност остатка мора бити тржишно остварива. Ако осигуравач одбија остатак од накнаде, мора омогућити осигуранику да га прода по процијењеној вриједности или га мора сам преузети. У супротном се дио ризика неосновано пребацује на осигураника.</w:t>
      </w:r>
    </w:p>
    <w:p w14:paraId="0B41CDE6" w14:textId="77777777" w:rsidR="00D03F1C" w:rsidRDefault="00000000" w:rsidP="00B45F38">
      <w:pPr>
        <w:ind w:firstLine="720"/>
      </w:pPr>
      <w:r>
        <w:t>Шесто, треба нормативно ограничити клаузуле о губитку права. Повреда обавезе осигураника након наступања осигураног случаја не смије аутоматски водити губитку права. Осигуравач мора доказати конкретну штету, превару, увећање штете или стварно онемогућавање утврђивања основа и висине обавезе.</w:t>
      </w:r>
    </w:p>
    <w:p w14:paraId="7684B39D" w14:textId="77777777" w:rsidR="00D03F1C" w:rsidRDefault="00000000" w:rsidP="00B45F38">
      <w:pPr>
        <w:ind w:firstLine="720"/>
      </w:pPr>
      <w:r>
        <w:t>Седмо, треба забранити клаузуле које чине налаз интерног или уговорног вјештака коначним на начин који осигуранику ускраћује судску контролу. Осигураник мора имати право да оспорава методологију, цијене, обим оштећења, амортизацију, вриједност остатка и све друге елементе обрачуна.</w:t>
      </w:r>
    </w:p>
    <w:p w14:paraId="5BEB7DAD" w14:textId="77777777" w:rsidR="00D03F1C" w:rsidRDefault="00000000" w:rsidP="00B45F38">
      <w:pPr>
        <w:ind w:firstLine="720"/>
      </w:pPr>
      <w:r>
        <w:t>Осмо, регулатор би требало да пропише минимални информативни лист за каско осигурање. Тај лист би на једној или двије странице морао садржавати основне информације: шта је покривено, шта није покривено, која су умањења, да ли се примјењује амортизација, да ли постоји франшиза, шта се дешава код тоталне штете, када се губи право и који су примјери обрачуна.</w:t>
      </w:r>
    </w:p>
    <w:p w14:paraId="7441488F" w14:textId="77777777" w:rsidR="00D03F1C" w:rsidRDefault="00000000" w:rsidP="00B45F38">
      <w:pPr>
        <w:ind w:firstLine="720"/>
      </w:pPr>
      <w:r>
        <w:lastRenderedPageBreak/>
        <w:t>Таква нормативизација не би угрозила тржишну слободу осигуравача. Осигуравачи би и даље могли нудити различите пакете и премије. Међутим, морали би јасно рећи шта осигураник купује. Тиме би се повећало повјерење у тржиште, смањио број спорова и обезбиједила поштена конкуренција.</w:t>
      </w:r>
    </w:p>
    <w:p w14:paraId="078999AD" w14:textId="77777777" w:rsidR="00D03F1C" w:rsidRDefault="00000000" w:rsidP="00B45F38">
      <w:pPr>
        <w:spacing w:before="240" w:after="120"/>
        <w:ind w:firstLine="720"/>
        <w:jc w:val="center"/>
      </w:pPr>
      <w:r>
        <w:rPr>
          <w:rFonts w:cs="Times New Roman"/>
        </w:rPr>
        <w:t>9. НИШТАВОСТ НЕФЕР ОДРЕДБИ И ПРАВНЕ ПОСЉЕДИЦЕ</w:t>
      </w:r>
    </w:p>
    <w:p w14:paraId="44D941E9" w14:textId="77777777" w:rsidR="00D03F1C" w:rsidRDefault="00000000" w:rsidP="00B45F38">
      <w:pPr>
        <w:ind w:firstLine="720"/>
      </w:pPr>
      <w:r>
        <w:t>Одредбе општих услова осигурања које су супротне принудним прописима, циљу уговора или основним начелима облигационог права не производе правно дејство. Код уговора о каско осигурању ова посљедица посебно долази до изражаја код клаузула којима се осигуранику аутоматски ускраћује право на накнаду због формалних пропуста након наступања осигураног случаја.</w:t>
      </w:r>
    </w:p>
    <w:p w14:paraId="5DC26D19" w14:textId="77777777" w:rsidR="00D03F1C" w:rsidRDefault="00000000" w:rsidP="00B45F38">
      <w:pPr>
        <w:ind w:firstLine="720"/>
      </w:pPr>
      <w:r>
        <w:t>Ништавост спорних клаузула наступа еx леге, независно од тога да ли их је осигураник формално прихватио потписивањем полисе. Суд на ништавост пази по службеној дужности, а терет доказивања да је одређени пропуст осигураника стварно утицао на настанак осигураног случаја, висину штете или могућност доказивања мора бити на осигуравачу.</w:t>
      </w:r>
    </w:p>
    <w:p w14:paraId="06E02FAD" w14:textId="77777777" w:rsidR="00D03F1C" w:rsidRDefault="00000000" w:rsidP="00B45F38">
      <w:pPr>
        <w:ind w:firstLine="720"/>
      </w:pPr>
      <w:r>
        <w:t>Ништавост нефер одредбе општих услова не доводи нужно до ништавости цијелог уговора о каско осигурању. Уговор може опстати без спорне одредбе ако се без ње може остварити његова сврха. Тиме се чува осигуравајуће покриће, а истовремено се уклања клаузула којом је осигуравач покушао да прошири основе за ослобађање од обавезе или да несразмјерно умањи накнаду. Такав приступ најбоље одговара заштитној функцији чланова 143 и 918 ЗОО.</w:t>
      </w:r>
    </w:p>
    <w:p w14:paraId="6191C049" w14:textId="77777777" w:rsidR="00D03F1C" w:rsidRDefault="00000000" w:rsidP="00B45F38">
      <w:pPr>
        <w:ind w:firstLine="720"/>
      </w:pPr>
      <w:r>
        <w:t>Дјелимична ништавост има важну практичну посљедицу. Ако је ништава само клаузула о губитку права, уговор остаје на снази и осигуравач мора исплатити накнаду ако су испуњени остали услови покрића. Ако је ништава само клаузула о прикривеном одбитку, накнада се обрачунава без тог одбитка. На тај начин суд не ствара нови уговор, већ уклања недопуштену одредбу и омогућава остварење сврхе закљученог уговора.</w:t>
      </w:r>
    </w:p>
    <w:p w14:paraId="2F8A9274" w14:textId="77777777" w:rsidR="00D03F1C" w:rsidRDefault="00000000" w:rsidP="00B45F38">
      <w:pPr>
        <w:spacing w:before="240" w:after="120"/>
        <w:ind w:firstLine="720"/>
        <w:jc w:val="center"/>
      </w:pPr>
      <w:r>
        <w:rPr>
          <w:rFonts w:cs="Times New Roman"/>
        </w:rPr>
        <w:t>10. ЗАКЉУЧАК</w:t>
      </w:r>
    </w:p>
    <w:p w14:paraId="72212F20" w14:textId="77777777" w:rsidR="00D03F1C" w:rsidRDefault="00000000" w:rsidP="00B45F38">
      <w:pPr>
        <w:ind w:firstLine="720"/>
      </w:pPr>
      <w:r>
        <w:t xml:space="preserve">Анализа каско осигурања у Босни и Херцеговини показује да се основни проблем не налази само у појединачним спорним клаузулама, него у ширем одсуству нормативне стандардизације овог осигуравајућег производа. Појам „пуно каско осигурање“ код просјечног осигураника ствара легитимно очекивање потпуне </w:t>
      </w:r>
      <w:r>
        <w:lastRenderedPageBreak/>
        <w:t>имовинске заштите. Међутим, поједини општи услови омогућавају да се након наступања осигураног случаја накнада умањи кроз амортизацију, франшизе, додатне одбитке, ограничења цијене рада и дијелова, вриједност остатка и строге клаузуле о губитку права.</w:t>
      </w:r>
    </w:p>
    <w:p w14:paraId="7E19C74C" w14:textId="77777777" w:rsidR="00D03F1C" w:rsidRDefault="00000000" w:rsidP="00B45F38">
      <w:pPr>
        <w:ind w:firstLine="720"/>
      </w:pPr>
      <w:r>
        <w:t>Таква пракса није нужно незаконита ако су ограничења јасно, посебно и разумљиво уговорена. Осигуравач има право да уговори франшизу, амортизацију, искључења и ограничења покрића. Али та ограничења морају бити представљена осигуранику прије закључења уговора на начин који му омогућава да разумије њихове стварне економске посљедице. Ако осигураник тек након штете сазна да накнада неће бити довољна за оправку возила, уговор не испуњава захтјев материјалне транспарентности.</w:t>
      </w:r>
    </w:p>
    <w:p w14:paraId="3DFFA55F" w14:textId="77777777" w:rsidR="00D03F1C" w:rsidRDefault="00000000" w:rsidP="00B45F38">
      <w:pPr>
        <w:ind w:firstLine="720"/>
      </w:pPr>
      <w:r>
        <w:t>Члан 143 ЗОО представља кључни домаћи инструмент контроле оваквих одредаба. Он захтијева да се општи услови не посматрају само формално, него кроз њихову усклађеност са циљем уговора, добрим пословним обичајима и правичном равнотежом уговорних страна. Код пуног каско осигурања циљ уговора није исплата било ког износа, него стварна заштита имовинског интереса осигураника.</w:t>
      </w:r>
    </w:p>
    <w:p w14:paraId="1378039B" w14:textId="77777777" w:rsidR="00D03F1C" w:rsidRDefault="00000000" w:rsidP="00B45F38">
      <w:pPr>
        <w:ind w:firstLine="720"/>
      </w:pPr>
      <w:r>
        <w:t>Члан 918 ЗОО додатно ограничава клаузуле о губитку права. Повреда обавезе осигураника након наступања осигураног случаја не може аутоматски довести до губитка права на накнаду. Осигуравач мора доказати конкретну штету, превару, увећање штете или стварно онемогућавање утврђивања основаности захтјева.</w:t>
      </w:r>
    </w:p>
    <w:p w14:paraId="7E2F1FD4" w14:textId="77777777" w:rsidR="00D03F1C" w:rsidRDefault="00000000" w:rsidP="00B45F38">
      <w:pPr>
        <w:ind w:firstLine="720"/>
      </w:pPr>
      <w:r>
        <w:t>Судска пракса која некритички афирмише слободу уговарања и потпис полисе као довољан основ за примјену сваке одредбе општих услова мора бити напуштена. Слобода уговарања није изнад сврхе уговора. Она постоји у границама закона, савјесности, поштења и правичне равнотеже. Код формуларних уговора осигурања судска контрола мора бити материјална, а не само формална.</w:t>
      </w:r>
    </w:p>
    <w:p w14:paraId="70E51601" w14:textId="77777777" w:rsidR="00D03F1C" w:rsidRDefault="00000000" w:rsidP="00B45F38">
      <w:pPr>
        <w:ind w:firstLine="720"/>
      </w:pPr>
      <w:r>
        <w:t>Европски стандарди потврђују исти правац. Транспарентност уговорне клаузуле не значи само граматичку разумљивост. Осигураник мора разумјети економске посљедице клаузуле. Ако то није могуће, клаузула не смије производити дејство на његову штету.</w:t>
      </w:r>
    </w:p>
    <w:p w14:paraId="1F8A064C" w14:textId="77777777" w:rsidR="00D03F1C" w:rsidRDefault="00000000" w:rsidP="00B45F38">
      <w:pPr>
        <w:ind w:firstLine="720"/>
      </w:pPr>
      <w:r>
        <w:t xml:space="preserve">Због свега наведеног, потребно је нормативно уредити минимални садржај услова каско осигурања у БиХ. Пуно каско мора значити пуно покриће, осим за јасно и транспарентно уговорена ограничења. Ако покриће није пуно, то мора бити јасно наведено прије закључења уговора. Само тако каско осигурање може остварити своју </w:t>
      </w:r>
      <w:r>
        <w:lastRenderedPageBreak/>
        <w:t>основну функцију: пренос ризика са осигураника на осигуравача и стварну заштиту имовинског интереса за премију коју је осигураник платио.</w:t>
      </w:r>
    </w:p>
    <w:p w14:paraId="0D2054AC" w14:textId="77777777" w:rsidR="00D03F1C" w:rsidRDefault="00000000" w:rsidP="00B45F38">
      <w:pPr>
        <w:spacing w:before="240" w:after="120"/>
        <w:ind w:firstLine="720"/>
        <w:jc w:val="center"/>
      </w:pPr>
      <w:r>
        <w:rPr>
          <w:rFonts w:cs="Times New Roman"/>
        </w:rPr>
        <w:t>ЛИТЕРАТУРА И ИЗВОРИ</w:t>
      </w:r>
    </w:p>
    <w:p w14:paraId="2C5D13C4" w14:textId="77777777" w:rsidR="00D03F1C" w:rsidRDefault="00000000" w:rsidP="00B45F38">
      <w:pPr>
        <w:ind w:firstLine="720"/>
      </w:pPr>
      <w:r>
        <w:t>Адриатик осигурање, Услови за каско осигурање.</w:t>
      </w:r>
    </w:p>
    <w:p w14:paraId="09CC1269" w14:textId="77777777" w:rsidR="00D03F1C" w:rsidRDefault="00000000" w:rsidP="00B45F38">
      <w:pPr>
        <w:ind w:firstLine="720"/>
      </w:pPr>
      <w:r>
        <w:t>Камелија осигурање д.д. Бихаћ, Општи услови за каско осигурање моторних и прикључних возила.</w:t>
      </w:r>
    </w:p>
    <w:p w14:paraId="74EAEF34" w14:textId="77777777" w:rsidR="00D03F1C" w:rsidRDefault="00000000" w:rsidP="00B45F38">
      <w:pPr>
        <w:ind w:firstLine="720"/>
      </w:pPr>
      <w:r>
        <w:t>Директива Вијећа 93/13/EEZ од 05.04.1993. о непоштеним одредбама у потрошачким уговорима.</w:t>
      </w:r>
    </w:p>
    <w:p w14:paraId="73E78C68" w14:textId="77777777" w:rsidR="00D03F1C" w:rsidRDefault="00000000" w:rsidP="00B45F38">
      <w:pPr>
        <w:ind w:firstLine="720"/>
      </w:pPr>
      <w:r>
        <w:t>Директива 2000/26/EC – Четврта директива о моторном осигурању.</w:t>
      </w:r>
    </w:p>
    <w:p w14:paraId="15026EFD" w14:textId="77777777" w:rsidR="00D03F1C" w:rsidRDefault="00000000" w:rsidP="00B45F38">
      <w:pPr>
        <w:ind w:firstLine="720"/>
      </w:pPr>
      <w:r>
        <w:t>Директива 2005/14/EC – Пета директива о моторном осигурању.</w:t>
      </w:r>
    </w:p>
    <w:p w14:paraId="1968A778" w14:textId="77777777" w:rsidR="00D03F1C" w:rsidRDefault="00000000" w:rsidP="00B45F38">
      <w:pPr>
        <w:ind w:firstLine="720"/>
      </w:pPr>
      <w:r>
        <w:t>Директива 2009/103/EC – кодификована директива о осигурању од грађанске одговорности за употребу моторних возила.</w:t>
      </w:r>
    </w:p>
    <w:p w14:paraId="5EED6BFA" w14:textId="77777777" w:rsidR="00D03F1C" w:rsidRDefault="00000000" w:rsidP="00B45F38">
      <w:pPr>
        <w:ind w:firstLine="720"/>
      </w:pPr>
      <w:r>
        <w:t>Еурос осигурање, Услови за каско осигурање.</w:t>
      </w:r>
    </w:p>
    <w:p w14:paraId="5554374D" w14:textId="77777777" w:rsidR="00D03F1C" w:rsidRDefault="00000000" w:rsidP="00B45F38">
      <w:pPr>
        <w:ind w:firstLine="720"/>
      </w:pPr>
      <w:r>
        <w:t>Горенц, В. et al., Коментар Закона о обвезним односима, Загреб.</w:t>
      </w:r>
    </w:p>
    <w:p w14:paraId="1ADA6AE1" w14:textId="77777777" w:rsidR="00D03F1C" w:rsidRDefault="00000000" w:rsidP="00B45F38">
      <w:pPr>
        <w:ind w:firstLine="720"/>
      </w:pPr>
      <w:r>
        <w:t>Кантонални суд у Сарајеву, пресуда број 65 0 Пс 056548 10 Пж од 22.03.2013.</w:t>
      </w:r>
    </w:p>
    <w:p w14:paraId="4842EE6A" w14:textId="77777777" w:rsidR="00D03F1C" w:rsidRDefault="00000000" w:rsidP="00B45F38">
      <w:pPr>
        <w:ind w:firstLine="720"/>
      </w:pPr>
      <w:r>
        <w:t>Кантонални суд у Тузли, пресуда број 32 0 П 113001 12 Гж од 13.04.2016.</w:t>
      </w:r>
    </w:p>
    <w:p w14:paraId="4AC12695" w14:textId="77777777" w:rsidR="00D03F1C" w:rsidRDefault="00000000" w:rsidP="00B45F38">
      <w:pPr>
        <w:ind w:firstLine="720"/>
      </w:pPr>
      <w:r>
        <w:t>Микрофин осигурање а.д. Бања Лука, Услови за каско осигурање моторних и шинских возила.</w:t>
      </w:r>
    </w:p>
    <w:p w14:paraId="6EF2064E" w14:textId="77777777" w:rsidR="00D03F1C" w:rsidRDefault="00000000" w:rsidP="00B45F38">
      <w:pPr>
        <w:ind w:firstLine="720"/>
      </w:pPr>
      <w:r>
        <w:t>Омбудсман у осигурању Републике Српске, Општа препорука број 06-603-2/11 од 12.12.2011.</w:t>
      </w:r>
    </w:p>
    <w:p w14:paraId="55E8D8EB" w14:textId="77777777" w:rsidR="00D03F1C" w:rsidRDefault="00000000" w:rsidP="00B45F38">
      <w:pPr>
        <w:ind w:firstLine="720"/>
      </w:pPr>
      <w:r>
        <w:t>Перовић, С., Стојановић, Д., Коментар Закона о облигационим односима, књига прва и друга, Београд.</w:t>
      </w:r>
    </w:p>
    <w:p w14:paraId="60D68F81" w14:textId="77777777" w:rsidR="00D03F1C" w:rsidRDefault="00000000" w:rsidP="00B45F38">
      <w:pPr>
        <w:ind w:firstLine="720"/>
      </w:pPr>
      <w:r>
        <w:t>Суд правде ЕУ, Andriciuc and Others, C-186/16, пресуда од 20.09.2017.</w:t>
      </w:r>
    </w:p>
    <w:p w14:paraId="224C236E" w14:textId="77777777" w:rsidR="00D03F1C" w:rsidRDefault="00000000" w:rsidP="00B45F38">
      <w:pPr>
        <w:ind w:firstLine="720"/>
      </w:pPr>
      <w:r>
        <w:t>Суд правде ЕУ, Jean-Claude Van Hove v CNP Assurances SA, C-96/14, пресуда од 23.04.2015.</w:t>
      </w:r>
    </w:p>
    <w:p w14:paraId="5DF7E516" w14:textId="77777777" w:rsidR="00D03F1C" w:rsidRDefault="00000000" w:rsidP="00B45F38">
      <w:pPr>
        <w:ind w:firstLine="720"/>
      </w:pPr>
      <w:r>
        <w:t>Суд правде ЕУ, Kásler and Káslerné Rábai, C-26/13, пресуда од 30.04.2014.</w:t>
      </w:r>
    </w:p>
    <w:p w14:paraId="0A1C6AB1" w14:textId="77777777" w:rsidR="00D03F1C" w:rsidRDefault="00000000" w:rsidP="00B45F38">
      <w:pPr>
        <w:ind w:firstLine="720"/>
      </w:pPr>
      <w:r>
        <w:t>Шабић Учанбарлић, А., Лазић Буљан, В. (2023), „О неким аспектима заштите осигураника као потрошача у уговору о каско осигурању моторног возила“, Годишњак Правног факултета у Сарајеву LXVI/2023, 249–284.</w:t>
      </w:r>
    </w:p>
    <w:p w14:paraId="7F35B8C7" w14:textId="77777777" w:rsidR="00D03F1C" w:rsidRDefault="00000000" w:rsidP="00B45F38">
      <w:pPr>
        <w:ind w:firstLine="720"/>
      </w:pPr>
      <w:r>
        <w:t>Визнер, Б., Букљаш, И., Коментар Закона о обвезним/облигационим односима, Загреб.</w:t>
      </w:r>
    </w:p>
    <w:p w14:paraId="4AFE9823" w14:textId="77777777" w:rsidR="00D03F1C" w:rsidRDefault="00000000" w:rsidP="00B45F38">
      <w:pPr>
        <w:ind w:firstLine="720"/>
      </w:pPr>
      <w:r>
        <w:t>Врховни суд Федерације БиХ, пресуда број 070-0-Рев-08-001332 од 17.12.2009.</w:t>
      </w:r>
    </w:p>
    <w:p w14:paraId="241F5BA5" w14:textId="77777777" w:rsidR="00D03F1C" w:rsidRDefault="00000000" w:rsidP="00B45F38">
      <w:pPr>
        <w:ind w:firstLine="720"/>
      </w:pPr>
      <w:r>
        <w:t>Врховни суд Федерације БиХ, пресуда број 58 0 Пс 127031 16 Рев од 03.09.2019.</w:t>
      </w:r>
    </w:p>
    <w:p w14:paraId="620B961E" w14:textId="77777777" w:rsidR="00D03F1C" w:rsidRDefault="00000000" w:rsidP="00B45F38">
      <w:pPr>
        <w:ind w:firstLine="720"/>
      </w:pPr>
      <w:r>
        <w:lastRenderedPageBreak/>
        <w:t>Врховни суд Федерације БиХ, пресуда број 65 0 Пс 334559 20 Рев од 07.04.2021.</w:t>
      </w:r>
    </w:p>
    <w:p w14:paraId="718ADA2E" w14:textId="77777777" w:rsidR="00D03F1C" w:rsidRDefault="00000000" w:rsidP="00B45F38">
      <w:pPr>
        <w:ind w:firstLine="720"/>
      </w:pPr>
      <w:r>
        <w:t>Врховни суд Републике Хрватске, Рев 1375/2015-2 од 10.11.2018.</w:t>
      </w:r>
    </w:p>
    <w:p w14:paraId="76E11C61" w14:textId="77777777" w:rsidR="00D03F1C" w:rsidRDefault="00000000" w:rsidP="00B45F38">
      <w:pPr>
        <w:ind w:firstLine="720"/>
      </w:pPr>
      <w:r>
        <w:t>Врховни суд Републике Хрватске, Рев 2455/11-2 од 10.06.2015.</w:t>
      </w:r>
    </w:p>
    <w:p w14:paraId="350AB73D" w14:textId="77777777" w:rsidR="00D03F1C" w:rsidRDefault="00000000" w:rsidP="00B45F38">
      <w:pPr>
        <w:ind w:firstLine="720"/>
      </w:pPr>
      <w:r>
        <w:t>Врховни суд Републике Хрватске, Рев 2969/2016-3 од 21.04.2020.</w:t>
      </w:r>
    </w:p>
    <w:p w14:paraId="77247EB1" w14:textId="77777777" w:rsidR="00D03F1C" w:rsidRDefault="00000000" w:rsidP="00B45F38">
      <w:pPr>
        <w:ind w:firstLine="720"/>
      </w:pPr>
      <w:r>
        <w:t>Винер осигурање а.д. Бања Лука, Услови за каско осигурање моторних возила.</w:t>
      </w:r>
    </w:p>
    <w:p w14:paraId="4E1D3CD8" w14:textId="77777777" w:rsidR="00D03F1C" w:rsidRDefault="00000000" w:rsidP="00B45F38">
      <w:pPr>
        <w:ind w:firstLine="720"/>
      </w:pPr>
      <w:r>
        <w:t>Закон о облигационим односима – ЗОО, Службени лист СФРЈ, бр. 29/78, 39/85, 45/89 и 57/89; Службени гласник Републике Српске, бр. 17/93, 3/96, 37/01, 39/03 и 74/04.</w:t>
      </w:r>
    </w:p>
    <w:p w14:paraId="52B3FDB7" w14:textId="77777777" w:rsidR="00D03F1C" w:rsidRDefault="00000000" w:rsidP="00B45F38">
      <w:pPr>
        <w:ind w:firstLine="720"/>
      </w:pPr>
      <w:r>
        <w:t>Закон о заштити потрошача у Босни и Херцеговини, Службени гласник БиХ, бр. 25/06 и 88/15.</w:t>
      </w:r>
    </w:p>
    <w:p w14:paraId="5E1927C0" w14:textId="77777777" w:rsidR="00D03F1C" w:rsidRDefault="00000000" w:rsidP="00B45F38">
      <w:pPr>
        <w:ind w:firstLine="720"/>
      </w:pPr>
      <w:r>
        <w:t>Закон о заштити потрошача Републике Српске, Службени гласник Републике Српске, бр. 6/12, 63/14, 18/17 и 90/21.</w:t>
      </w:r>
    </w:p>
    <w:p w14:paraId="0616DB87" w14:textId="77777777" w:rsidR="00D03F1C" w:rsidRDefault="00000000" w:rsidP="00B45F38">
      <w:pPr>
        <w:ind w:firstLine="720"/>
      </w:pPr>
      <w:r>
        <w:t>Жупанијски суд у Ријеци, Гж-2807/2017 од 19.12.2017.</w:t>
      </w:r>
    </w:p>
    <w:p w14:paraId="2B326CF1" w14:textId="77777777" w:rsidR="003E26FD" w:rsidRDefault="003E26FD" w:rsidP="00B45F38">
      <w:pPr>
        <w:spacing w:before="360"/>
        <w:ind w:firstLine="720"/>
        <w:jc w:val="left"/>
      </w:pPr>
    </w:p>
    <w:p w14:paraId="78D3F5A5" w14:textId="77777777" w:rsidR="003E26FD" w:rsidRDefault="003E26FD" w:rsidP="00B45F38">
      <w:pPr>
        <w:spacing w:before="360"/>
        <w:ind w:firstLine="720"/>
        <w:jc w:val="left"/>
      </w:pPr>
    </w:p>
    <w:p w14:paraId="33F4CB8A" w14:textId="77777777" w:rsidR="003E26FD" w:rsidRDefault="003E26FD" w:rsidP="00B45F38">
      <w:pPr>
        <w:spacing w:before="360"/>
        <w:ind w:firstLine="720"/>
        <w:jc w:val="left"/>
      </w:pPr>
    </w:p>
    <w:p w14:paraId="6B0689EB" w14:textId="77777777" w:rsidR="003E26FD" w:rsidRDefault="003E26FD" w:rsidP="00B45F38">
      <w:pPr>
        <w:spacing w:before="360"/>
        <w:ind w:firstLine="720"/>
        <w:jc w:val="left"/>
      </w:pPr>
    </w:p>
    <w:p w14:paraId="35203046" w14:textId="77777777" w:rsidR="003E26FD" w:rsidRDefault="003E26FD" w:rsidP="00B45F38">
      <w:pPr>
        <w:spacing w:before="360"/>
        <w:ind w:firstLine="720"/>
        <w:jc w:val="left"/>
      </w:pPr>
    </w:p>
    <w:p w14:paraId="2FCD5ACC" w14:textId="77777777" w:rsidR="003E26FD" w:rsidRDefault="003E26FD" w:rsidP="00B45F38">
      <w:pPr>
        <w:spacing w:before="360"/>
        <w:ind w:firstLine="720"/>
        <w:jc w:val="left"/>
      </w:pPr>
    </w:p>
    <w:p w14:paraId="323F6AB7" w14:textId="77777777" w:rsidR="003E26FD" w:rsidRDefault="003E26FD" w:rsidP="00B45F38">
      <w:pPr>
        <w:spacing w:before="360"/>
        <w:ind w:firstLine="720"/>
        <w:jc w:val="left"/>
      </w:pPr>
    </w:p>
    <w:p w14:paraId="4A7BEDE1" w14:textId="77777777" w:rsidR="003E26FD" w:rsidRDefault="003E26FD" w:rsidP="00B45F38">
      <w:pPr>
        <w:spacing w:before="360"/>
        <w:ind w:firstLine="720"/>
        <w:jc w:val="left"/>
      </w:pPr>
    </w:p>
    <w:p w14:paraId="322172B2" w14:textId="77777777" w:rsidR="003E26FD" w:rsidRDefault="003E26FD" w:rsidP="00B45F38">
      <w:pPr>
        <w:spacing w:before="360"/>
        <w:ind w:firstLine="720"/>
        <w:jc w:val="left"/>
      </w:pPr>
    </w:p>
    <w:p w14:paraId="7050E79A" w14:textId="77777777" w:rsidR="003E26FD" w:rsidRDefault="003E26FD" w:rsidP="00B45F38">
      <w:pPr>
        <w:spacing w:before="360"/>
        <w:ind w:firstLine="720"/>
        <w:jc w:val="left"/>
      </w:pPr>
    </w:p>
    <w:p w14:paraId="162D5B6F" w14:textId="77777777" w:rsidR="003E26FD" w:rsidRDefault="003E26FD" w:rsidP="00B45F38">
      <w:pPr>
        <w:spacing w:before="360"/>
        <w:ind w:firstLine="720"/>
        <w:jc w:val="left"/>
      </w:pPr>
    </w:p>
    <w:p w14:paraId="35F0774D" w14:textId="6AD20597" w:rsidR="00D03F1C" w:rsidRDefault="00000000" w:rsidP="00B45F38">
      <w:pPr>
        <w:spacing w:before="360"/>
        <w:ind w:firstLine="720"/>
        <w:jc w:val="left"/>
      </w:pPr>
      <w:r>
        <w:lastRenderedPageBreak/>
        <w:t>Dragan Stanišić, attorney at law, Law Office Dragan Stanišić, Banja Luka</w:t>
      </w:r>
    </w:p>
    <w:p w14:paraId="651D93B8" w14:textId="77777777" w:rsidR="00D03F1C" w:rsidRDefault="00000000" w:rsidP="00B45F38">
      <w:pPr>
        <w:spacing w:after="120"/>
        <w:ind w:firstLine="720"/>
        <w:jc w:val="left"/>
      </w:pPr>
      <w:r>
        <w:t>Nikola Trivić, legal associate, Law Office Dragan Stanišić, Banja Luka</w:t>
      </w:r>
    </w:p>
    <w:p w14:paraId="3AB8F660" w14:textId="77777777" w:rsidR="00D03F1C" w:rsidRDefault="00000000" w:rsidP="00B45F38">
      <w:pPr>
        <w:spacing w:before="120" w:after="120"/>
        <w:ind w:firstLine="720"/>
        <w:jc w:val="center"/>
      </w:pPr>
      <w:r>
        <w:rPr>
          <w:b/>
        </w:rPr>
        <w:t>FULL CASCO INSURANCE WITHOUT FULL COVERAGE</w:t>
      </w:r>
    </w:p>
    <w:p w14:paraId="64D0965E" w14:textId="77777777" w:rsidR="00D03F1C" w:rsidRDefault="00000000" w:rsidP="00B45F38">
      <w:pPr>
        <w:ind w:firstLine="720"/>
        <w:jc w:val="center"/>
      </w:pPr>
      <w:r>
        <w:rPr>
          <w:b/>
        </w:rPr>
        <w:t>Summary</w:t>
      </w:r>
    </w:p>
    <w:p w14:paraId="312577A8" w14:textId="77777777" w:rsidR="00D03F1C" w:rsidRDefault="00000000" w:rsidP="00B45F38">
      <w:pPr>
        <w:ind w:firstLine="720"/>
      </w:pPr>
      <w:r>
        <w:t>The paper analyses comprehensive motor insurance terms in Bosnia and Herzegovina where the product is marketed as “full casco”, while the indemnity may be reduced after the insured event through depreciation of parts, deductibles, limits on labour and spare parts, non-recognition of diagnostics, calibration or VAT, and deductions based on salvage value in total loss cases. The analysis relies on Articles 143 and 918 of the Law on Obligations. General terms may not defeat the purpose of the contract, breach good business customs or provide for automatic loss of rights because of the insured’s omissions after the insured event. The paper argues that full casco should mean actual full coverage, except for limitations that are clearly and specifically agreed before the contract is concluded. It also proposes normative regulation of the minimum content of casco insurance terms and a standardised, transparent loss calculation model.</w:t>
      </w:r>
    </w:p>
    <w:p w14:paraId="056C23E7" w14:textId="77777777" w:rsidR="00D03F1C" w:rsidRDefault="00000000" w:rsidP="00B45F38">
      <w:pPr>
        <w:spacing w:after="240"/>
        <w:ind w:firstLine="720"/>
        <w:jc w:val="left"/>
      </w:pPr>
      <w:r>
        <w:rPr>
          <w:b/>
        </w:rPr>
        <w:t xml:space="preserve">Keywords: </w:t>
      </w:r>
      <w:r>
        <w:t>comprehensive motor insurance, general terms, unfair terms, deductible, depreciation, total loss, loss of rights.</w:t>
      </w:r>
    </w:p>
    <w:sectPr w:rsidR="00D03F1C" w:rsidSect="00034616">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B7205" w14:textId="77777777" w:rsidR="00B3449E" w:rsidRDefault="00B3449E">
      <w:pPr>
        <w:spacing w:line="240" w:lineRule="auto"/>
      </w:pPr>
      <w:r>
        <w:separator/>
      </w:r>
    </w:p>
  </w:endnote>
  <w:endnote w:type="continuationSeparator" w:id="0">
    <w:p w14:paraId="07B9F3A4" w14:textId="77777777" w:rsidR="00B3449E" w:rsidRDefault="00B34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E9D9" w14:textId="77777777" w:rsidR="0066744A" w:rsidRDefault="00000000">
    <w:pPr>
      <w:pStyle w:val="Podnoje"/>
      <w:jc w:val="center"/>
    </w:pPr>
    <w:r>
      <w:fldChar w:fldCharType="begin"/>
    </w:r>
    <w:r>
      <w:instrText>PAGE</w:instrText>
    </w:r>
    <w:r>
      <w:fldChar w:fldCharType="separate"/>
    </w:r>
    <w:r w:rsidR="001F00F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41D66" w14:textId="77777777" w:rsidR="00B3449E" w:rsidRDefault="00B3449E">
      <w:r>
        <w:separator/>
      </w:r>
    </w:p>
  </w:footnote>
  <w:footnote w:type="continuationSeparator" w:id="0">
    <w:p w14:paraId="20B2F302" w14:textId="77777777" w:rsidR="00B3449E" w:rsidRDefault="00B3449E">
      <w:r>
        <w:continuationSeparator/>
      </w:r>
    </w:p>
  </w:footnote>
  <w:footnote w:id="1">
    <w:p w14:paraId="613EC11F" w14:textId="77777777" w:rsidR="00D03F1C" w:rsidRDefault="00000000">
      <w:pPr>
        <w:spacing w:line="240" w:lineRule="auto"/>
      </w:pPr>
      <w:r>
        <w:rPr>
          <w:rFonts w:cs="Times New Roman"/>
          <w:sz w:val="20"/>
        </w:rPr>
        <w:t>* Драган Станишић, адвокат, Адвокатска канцеларија Драган Станишић, Бања Лука, advokat@drstanisic.com.</w:t>
      </w:r>
    </w:p>
  </w:footnote>
  <w:footnote w:id="2">
    <w:p w14:paraId="3F83BFB1" w14:textId="77777777" w:rsidR="00D03F1C" w:rsidRDefault="00000000">
      <w:pPr>
        <w:spacing w:line="240" w:lineRule="auto"/>
      </w:pPr>
      <w:r>
        <w:rPr>
          <w:rFonts w:cs="Times New Roman"/>
          <w:sz w:val="20"/>
        </w:rPr>
        <w:t>** Никола Тривић, стручни сарадник, Адвокатска канцеларија Драган Станишић, Бања Лука, nikola@drstanisic.com.</w:t>
      </w:r>
    </w:p>
  </w:footnote>
  <w:footnote w:id="3">
    <w:p w14:paraId="3C5DC5B0" w14:textId="77777777" w:rsidR="00D03F1C" w:rsidRDefault="00000000">
      <w:pPr>
        <w:spacing w:line="240" w:lineRule="auto"/>
      </w:pPr>
      <w:r>
        <w:footnoteRef/>
      </w:r>
      <w:r>
        <w:rPr>
          <w:rFonts w:cs="Times New Roman"/>
          <w:sz w:val="20"/>
        </w:rPr>
        <w:t>Закон о облигационим односима – ЗОО, Службени лист СФРЈ, бр. 29/78, 39/85, 45/89 и 57/89, Службени гласник Републике Српске, бр. 17/93, 3/96, 37/01, 39/03 и 74/04, чл. 142.</w:t>
      </w:r>
    </w:p>
  </w:footnote>
  <w:footnote w:id="4">
    <w:p w14:paraId="7475C95A" w14:textId="77777777" w:rsidR="00D03F1C" w:rsidRDefault="00000000">
      <w:pPr>
        <w:spacing w:line="240" w:lineRule="auto"/>
      </w:pPr>
      <w:r>
        <w:footnoteRef/>
      </w:r>
      <w:r>
        <w:rPr>
          <w:rFonts w:cs="Times New Roman"/>
          <w:sz w:val="20"/>
        </w:rPr>
        <w:t>ЗОО, чл. 143.</w:t>
      </w:r>
    </w:p>
  </w:footnote>
  <w:footnote w:id="5">
    <w:p w14:paraId="65BA686C" w14:textId="77777777" w:rsidR="00D03F1C" w:rsidRDefault="00000000">
      <w:pPr>
        <w:spacing w:line="240" w:lineRule="auto"/>
      </w:pPr>
      <w:r>
        <w:footnoteRef/>
      </w:r>
      <w:r>
        <w:rPr>
          <w:rFonts w:cs="Times New Roman"/>
          <w:sz w:val="20"/>
        </w:rPr>
        <w:t>Камелија осигурање д.д. Бихаћ, Општи услови за каско осигурање моторних и прикључних возила, одредба о вјештачењу и коначности налаза.</w:t>
      </w:r>
    </w:p>
  </w:footnote>
  <w:footnote w:id="6">
    <w:p w14:paraId="3B44D246" w14:textId="77777777" w:rsidR="00D03F1C" w:rsidRDefault="00000000">
      <w:pPr>
        <w:spacing w:line="240" w:lineRule="auto"/>
      </w:pPr>
      <w:r>
        <w:footnoteRef/>
      </w:r>
      <w:r>
        <w:rPr>
          <w:rFonts w:cs="Times New Roman"/>
          <w:sz w:val="20"/>
        </w:rPr>
        <w:t>Винер осигурање а.д. Бања Лука, Услови за каско осигурање, одредбе о потпуном каску, учешћу у штети и откупу амортизоване вриједности.</w:t>
      </w:r>
    </w:p>
  </w:footnote>
  <w:footnote w:id="7">
    <w:p w14:paraId="5A439581" w14:textId="77777777" w:rsidR="00D03F1C" w:rsidRDefault="00000000">
      <w:pPr>
        <w:spacing w:line="240" w:lineRule="auto"/>
      </w:pPr>
      <w:r>
        <w:footnoteRef/>
      </w:r>
      <w:r>
        <w:rPr>
          <w:rFonts w:cs="Times New Roman"/>
          <w:sz w:val="20"/>
        </w:rPr>
        <w:t>Микрофин осигурање а.д. Бања Лука, Услови за каско осигурање моторних и шинских возила, одредбе о додатној франшизи код више штета.</w:t>
      </w:r>
    </w:p>
  </w:footnote>
  <w:footnote w:id="8">
    <w:p w14:paraId="6DCB5A0A" w14:textId="77777777" w:rsidR="00D03F1C" w:rsidRDefault="00000000">
      <w:pPr>
        <w:spacing w:line="240" w:lineRule="auto"/>
      </w:pPr>
      <w:r>
        <w:footnoteRef/>
      </w:r>
      <w:r>
        <w:rPr>
          <w:rFonts w:cs="Times New Roman"/>
          <w:sz w:val="20"/>
        </w:rPr>
        <w:t>ЗОО, чл. 917 и 918.</w:t>
      </w:r>
    </w:p>
  </w:footnote>
  <w:footnote w:id="9">
    <w:p w14:paraId="2D4A2C38" w14:textId="77777777" w:rsidR="00D03F1C" w:rsidRDefault="00000000">
      <w:pPr>
        <w:spacing w:line="240" w:lineRule="auto"/>
      </w:pPr>
      <w:r>
        <w:footnoteRef/>
      </w:r>
      <w:r>
        <w:rPr>
          <w:rFonts w:cs="Times New Roman"/>
          <w:sz w:val="20"/>
        </w:rPr>
        <w:t>Врховни суд Федерације БиХ, пресуда број 070-0-Рев-08-001332 од 17.12.2009.</w:t>
      </w:r>
    </w:p>
  </w:footnote>
  <w:footnote w:id="10">
    <w:p w14:paraId="118F1A1E" w14:textId="77777777" w:rsidR="00D03F1C" w:rsidRDefault="00000000">
      <w:pPr>
        <w:spacing w:line="240" w:lineRule="auto"/>
      </w:pPr>
      <w:r>
        <w:footnoteRef/>
      </w:r>
      <w:r>
        <w:rPr>
          <w:rFonts w:cs="Times New Roman"/>
          <w:sz w:val="20"/>
        </w:rPr>
        <w:t>Кантонални суд у Сарајеву, пресуда број 65 0 Пс 056548 10 Пж од 22.03.2013.</w:t>
      </w:r>
    </w:p>
  </w:footnote>
  <w:footnote w:id="11">
    <w:p w14:paraId="39E9A619" w14:textId="77777777" w:rsidR="00D03F1C" w:rsidRDefault="00000000">
      <w:pPr>
        <w:spacing w:line="240" w:lineRule="auto"/>
      </w:pPr>
      <w:r>
        <w:footnoteRef/>
      </w:r>
      <w:r>
        <w:rPr>
          <w:rFonts w:cs="Times New Roman"/>
          <w:sz w:val="20"/>
        </w:rPr>
        <w:t>А. Шабић Учанбарлић, В. Лазић Буљан, „О неким аспектима заштите осигураника као потрошача у уговору о каско осигурању моторног возила“, Годишњак Правног факултета у Сарајеву LXVI/2023, 249–284.</w:t>
      </w:r>
    </w:p>
  </w:footnote>
  <w:footnote w:id="12">
    <w:p w14:paraId="5395E592" w14:textId="77777777" w:rsidR="00D03F1C" w:rsidRDefault="00000000">
      <w:pPr>
        <w:spacing w:line="240" w:lineRule="auto"/>
      </w:pPr>
      <w:r>
        <w:footnoteRef/>
      </w:r>
      <w:r>
        <w:rPr>
          <w:rFonts w:cs="Times New Roman"/>
          <w:sz w:val="20"/>
        </w:rPr>
        <w:t>Врховни суд Републике Хрватске, Рев 1375/2015-2 од 10.11.2018; Врховни суд Републике Хрватске, Рев 2455/11-2 од 10.06.2015.</w:t>
      </w:r>
    </w:p>
  </w:footnote>
  <w:footnote w:id="13">
    <w:p w14:paraId="3894FFBC" w14:textId="77777777" w:rsidR="00D03F1C" w:rsidRDefault="00000000">
      <w:pPr>
        <w:spacing w:line="240" w:lineRule="auto"/>
      </w:pPr>
      <w:r>
        <w:footnoteRef/>
      </w:r>
      <w:r>
        <w:rPr>
          <w:rFonts w:cs="Times New Roman"/>
          <w:sz w:val="20"/>
        </w:rPr>
        <w:t>Врховни суд Републике Хрватске, Рев 2969/2016-3 од 21.04.2020.</w:t>
      </w:r>
    </w:p>
  </w:footnote>
  <w:footnote w:id="14">
    <w:p w14:paraId="4723A623" w14:textId="77777777" w:rsidR="00D03F1C" w:rsidRDefault="00000000">
      <w:pPr>
        <w:spacing w:line="240" w:lineRule="auto"/>
      </w:pPr>
      <w:r>
        <w:footnoteRef/>
      </w:r>
      <w:r>
        <w:rPr>
          <w:rFonts w:cs="Times New Roman"/>
          <w:sz w:val="20"/>
        </w:rPr>
        <w:t>Правно схватање Грађанског одјељења Врховног суда Србије од 18.03.1991, Билтен судске праксе – Тридесет година примјене Закона о облигационим односима у судској пракси, бр. 3/2008.</w:t>
      </w:r>
    </w:p>
  </w:footnote>
  <w:footnote w:id="15">
    <w:p w14:paraId="3DA97A8F" w14:textId="77777777" w:rsidR="00D03F1C" w:rsidRDefault="00000000">
      <w:pPr>
        <w:spacing w:line="240" w:lineRule="auto"/>
      </w:pPr>
      <w:r>
        <w:footnoteRef/>
      </w:r>
      <w:r>
        <w:rPr>
          <w:rFonts w:cs="Times New Roman"/>
          <w:sz w:val="20"/>
        </w:rPr>
        <w:t>Омбудсман у осигурању Републике Српске, Општа препорука број 06-603-2/11 од 12.12.2011.</w:t>
      </w:r>
    </w:p>
  </w:footnote>
  <w:footnote w:id="16">
    <w:p w14:paraId="29CFA4BB" w14:textId="77777777" w:rsidR="00D03F1C" w:rsidRDefault="00000000">
      <w:pPr>
        <w:spacing w:line="240" w:lineRule="auto"/>
      </w:pPr>
      <w:r>
        <w:footnoteRef/>
      </w:r>
      <w:r>
        <w:rPr>
          <w:rFonts w:cs="Times New Roman"/>
          <w:sz w:val="20"/>
        </w:rPr>
        <w:t>Директива Вијећа 93/13/EEZ од 05.04.1993. о непоштеним одредбама у потрошачким уговорима.</w:t>
      </w:r>
    </w:p>
  </w:footnote>
  <w:footnote w:id="17">
    <w:p w14:paraId="1DEF592D" w14:textId="77777777" w:rsidR="00D03F1C" w:rsidRDefault="00000000">
      <w:pPr>
        <w:spacing w:line="240" w:lineRule="auto"/>
      </w:pPr>
      <w:r>
        <w:footnoteRef/>
      </w:r>
      <w:r>
        <w:rPr>
          <w:rFonts w:cs="Times New Roman"/>
          <w:sz w:val="20"/>
        </w:rPr>
        <w:t>Суд правде ЕУ, Jean-Claude Van Hove v CNP Assurances SA, C-96/14, пресуда од 23.04.2015.</w:t>
      </w:r>
    </w:p>
  </w:footnote>
  <w:footnote w:id="18">
    <w:p w14:paraId="023CD284" w14:textId="77777777" w:rsidR="00D03F1C" w:rsidRDefault="00000000">
      <w:pPr>
        <w:spacing w:line="240" w:lineRule="auto"/>
      </w:pPr>
      <w:r>
        <w:footnoteRef/>
      </w:r>
      <w:r>
        <w:rPr>
          <w:rFonts w:cs="Times New Roman"/>
          <w:sz w:val="20"/>
        </w:rPr>
        <w:t>Суд правде ЕУ, Kásler and Káslerné Rábai, C-26/13, пресуда од 30.04.2014; Суд правде ЕУ, Andriciuc and Others, C-186/16, пресуда од 20.09.2017.</w:t>
      </w:r>
    </w:p>
  </w:footnote>
  <w:footnote w:id="19">
    <w:p w14:paraId="7264CA26" w14:textId="77777777" w:rsidR="00D03F1C" w:rsidRDefault="00000000">
      <w:pPr>
        <w:spacing w:line="240" w:lineRule="auto"/>
      </w:pPr>
      <w:r>
        <w:footnoteRef/>
      </w:r>
      <w:r>
        <w:rPr>
          <w:rFonts w:cs="Times New Roman"/>
          <w:sz w:val="20"/>
        </w:rPr>
        <w:t>Директива 2000/26/EC; Директива 2005/14/EC; Директива 2009/103/EC.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pisaksabrojevim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pisaksabrojevim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pisaksakarakterimazaisticanj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pisaksakarakterimazaisticanj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pisaksabrojevim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pisaksakaraktzaisticanje"/>
      <w:lvlText w:val=""/>
      <w:lvlJc w:val="left"/>
      <w:pPr>
        <w:tabs>
          <w:tab w:val="num" w:pos="360"/>
        </w:tabs>
        <w:ind w:left="360" w:hanging="360"/>
      </w:pPr>
      <w:rPr>
        <w:rFonts w:ascii="Symbol" w:hAnsi="Symbol" w:hint="default"/>
      </w:rPr>
    </w:lvl>
  </w:abstractNum>
  <w:num w:numId="1" w16cid:durableId="1644578712">
    <w:abstractNumId w:val="8"/>
  </w:num>
  <w:num w:numId="2" w16cid:durableId="394281392">
    <w:abstractNumId w:val="6"/>
  </w:num>
  <w:num w:numId="3" w16cid:durableId="1770000781">
    <w:abstractNumId w:val="5"/>
  </w:num>
  <w:num w:numId="4" w16cid:durableId="1558005289">
    <w:abstractNumId w:val="4"/>
  </w:num>
  <w:num w:numId="5" w16cid:durableId="728070357">
    <w:abstractNumId w:val="7"/>
  </w:num>
  <w:num w:numId="6" w16cid:durableId="98526258">
    <w:abstractNumId w:val="3"/>
  </w:num>
  <w:num w:numId="7" w16cid:durableId="694158955">
    <w:abstractNumId w:val="2"/>
  </w:num>
  <w:num w:numId="8" w16cid:durableId="1626810093">
    <w:abstractNumId w:val="1"/>
  </w:num>
  <w:num w:numId="9" w16cid:durableId="73578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00FD"/>
    <w:rsid w:val="0029639D"/>
    <w:rsid w:val="00326F90"/>
    <w:rsid w:val="003D31BE"/>
    <w:rsid w:val="003E26FD"/>
    <w:rsid w:val="005619A2"/>
    <w:rsid w:val="0066744A"/>
    <w:rsid w:val="00AA1D8D"/>
    <w:rsid w:val="00B3449E"/>
    <w:rsid w:val="00B45F38"/>
    <w:rsid w:val="00B47730"/>
    <w:rsid w:val="00BE662F"/>
    <w:rsid w:val="00C15255"/>
    <w:rsid w:val="00CB0664"/>
    <w:rsid w:val="00D03F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73BD3"/>
  <w14:defaultImageDpi w14:val="300"/>
  <w15:docId w15:val="{EEE202FD-F291-4B8C-A68E-36E359B7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sid w:val="00FC693F"/>
    <w:pPr>
      <w:spacing w:after="0" w:line="360" w:lineRule="auto"/>
      <w:jc w:val="both"/>
    </w:pPr>
    <w:rPr>
      <w:rFonts w:ascii="Times New Roman" w:eastAsia="Times New Roman" w:hAnsi="Times New Roman"/>
      <w:sz w:val="24"/>
    </w:rPr>
  </w:style>
  <w:style w:type="paragraph" w:styleId="Naslov1">
    <w:name w:val="heading 1"/>
    <w:basedOn w:val="Normalno"/>
    <w:next w:val="Normalno"/>
    <w:link w:val="Naslov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Naslov2">
    <w:name w:val="heading 2"/>
    <w:basedOn w:val="Normalno"/>
    <w:next w:val="Normalno"/>
    <w:link w:val="Naslov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Naslov3">
    <w:name w:val="heading 3"/>
    <w:basedOn w:val="Normalno"/>
    <w:next w:val="Normalno"/>
    <w:link w:val="Naslov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no"/>
    <w:next w:val="Normalno"/>
    <w:link w:val="Naslov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no"/>
    <w:next w:val="Normalno"/>
    <w:link w:val="Naslov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no"/>
    <w:next w:val="Normalno"/>
    <w:link w:val="Naslov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no"/>
    <w:next w:val="Normalno"/>
    <w:link w:val="Naslov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no"/>
    <w:next w:val="Normalno"/>
    <w:link w:val="Naslov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no"/>
    <w:next w:val="Normalno"/>
    <w:link w:val="Naslov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Zaglavlje">
    <w:name w:val="header"/>
    <w:basedOn w:val="Normalno"/>
    <w:link w:val="ZaglavljeZnak"/>
    <w:uiPriority w:val="99"/>
    <w:unhideWhenUsed/>
    <w:rsid w:val="00E618BF"/>
    <w:pPr>
      <w:tabs>
        <w:tab w:val="center" w:pos="4680"/>
        <w:tab w:val="right" w:pos="9360"/>
      </w:tabs>
      <w:spacing w:line="240" w:lineRule="auto"/>
    </w:pPr>
  </w:style>
  <w:style w:type="character" w:customStyle="1" w:styleId="ZaglavljeZnak">
    <w:name w:val="Zaglavlje Znak"/>
    <w:basedOn w:val="Zadanifontparagrafa"/>
    <w:link w:val="Zaglavlje"/>
    <w:uiPriority w:val="99"/>
    <w:rsid w:val="00E618BF"/>
  </w:style>
  <w:style w:type="paragraph" w:styleId="Podnoje">
    <w:name w:val="footer"/>
    <w:basedOn w:val="Normalno"/>
    <w:link w:val="PodnojeZnak"/>
    <w:uiPriority w:val="99"/>
    <w:unhideWhenUsed/>
    <w:rsid w:val="00E618BF"/>
    <w:pPr>
      <w:tabs>
        <w:tab w:val="center" w:pos="4680"/>
        <w:tab w:val="right" w:pos="9360"/>
      </w:tabs>
      <w:spacing w:line="240" w:lineRule="auto"/>
    </w:pPr>
  </w:style>
  <w:style w:type="character" w:customStyle="1" w:styleId="PodnojeZnak">
    <w:name w:val="Podnožje Znak"/>
    <w:basedOn w:val="Zadanifontparagrafa"/>
    <w:link w:val="Podnoje"/>
    <w:uiPriority w:val="99"/>
    <w:rsid w:val="00E618BF"/>
  </w:style>
  <w:style w:type="paragraph" w:styleId="Bezrazmaka">
    <w:name w:val="No Spacing"/>
    <w:uiPriority w:val="1"/>
    <w:qFormat/>
    <w:rsid w:val="00FC693F"/>
    <w:pPr>
      <w:spacing w:after="0" w:line="240" w:lineRule="auto"/>
    </w:pPr>
  </w:style>
  <w:style w:type="character" w:customStyle="1" w:styleId="Naslov1Znak">
    <w:name w:val="Naslov 1 Znak"/>
    <w:basedOn w:val="Zadanifontparagraf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Zadanifontparagraf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Zadanifontparagraf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no"/>
    <w:next w:val="Normalno"/>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NaslovZnak">
    <w:name w:val="Naslov Znak"/>
    <w:basedOn w:val="Zadanifontparagraf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no"/>
    <w:next w:val="Normalno"/>
    <w:link w:val="Podnaslov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naslovZnak">
    <w:name w:val="Podnaslov Znak"/>
    <w:basedOn w:val="Zadanifontparagraf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Paragrafspiska">
    <w:name w:val="List Paragraph"/>
    <w:basedOn w:val="Normalno"/>
    <w:uiPriority w:val="34"/>
    <w:qFormat/>
    <w:rsid w:val="00FC693F"/>
    <w:pPr>
      <w:ind w:left="720"/>
      <w:contextualSpacing/>
    </w:pPr>
  </w:style>
  <w:style w:type="paragraph" w:styleId="Tijeloteksta">
    <w:name w:val="Body Text"/>
    <w:basedOn w:val="Normalno"/>
    <w:link w:val="TijelotekstaZnak"/>
    <w:uiPriority w:val="99"/>
    <w:unhideWhenUsed/>
    <w:rsid w:val="00AA1D8D"/>
  </w:style>
  <w:style w:type="character" w:customStyle="1" w:styleId="TijelotekstaZnak">
    <w:name w:val="Tijelo teksta Znak"/>
    <w:basedOn w:val="Zadanifontparagrafa"/>
    <w:link w:val="Tijeloteksta"/>
    <w:uiPriority w:val="99"/>
    <w:rsid w:val="00AA1D8D"/>
  </w:style>
  <w:style w:type="paragraph" w:styleId="Tijeloteksta2">
    <w:name w:val="Body Text 2"/>
    <w:basedOn w:val="Normalno"/>
    <w:link w:val="Tijeloteksta2Znak"/>
    <w:uiPriority w:val="99"/>
    <w:unhideWhenUsed/>
    <w:rsid w:val="00AA1D8D"/>
    <w:pPr>
      <w:spacing w:line="480" w:lineRule="auto"/>
    </w:pPr>
  </w:style>
  <w:style w:type="character" w:customStyle="1" w:styleId="Tijeloteksta2Znak">
    <w:name w:val="Tijelo teksta 2 Znak"/>
    <w:basedOn w:val="Zadanifontparagrafa"/>
    <w:link w:val="Tijeloteksta2"/>
    <w:uiPriority w:val="99"/>
    <w:rsid w:val="00AA1D8D"/>
  </w:style>
  <w:style w:type="paragraph" w:styleId="Tijeloteksta3">
    <w:name w:val="Body Text 3"/>
    <w:basedOn w:val="Normalno"/>
    <w:link w:val="Tijeloteksta3Znak"/>
    <w:uiPriority w:val="99"/>
    <w:unhideWhenUsed/>
    <w:rsid w:val="00AA1D8D"/>
    <w:rPr>
      <w:sz w:val="16"/>
      <w:szCs w:val="16"/>
    </w:rPr>
  </w:style>
  <w:style w:type="character" w:customStyle="1" w:styleId="Tijeloteksta3Znak">
    <w:name w:val="Tijelo teksta 3 Znak"/>
    <w:basedOn w:val="Zadanifontparagrafa"/>
    <w:link w:val="Tijeloteksta3"/>
    <w:uiPriority w:val="99"/>
    <w:rsid w:val="00AA1D8D"/>
    <w:rPr>
      <w:sz w:val="16"/>
      <w:szCs w:val="16"/>
    </w:rPr>
  </w:style>
  <w:style w:type="paragraph" w:styleId="Spisak">
    <w:name w:val="List"/>
    <w:basedOn w:val="Normalno"/>
    <w:uiPriority w:val="99"/>
    <w:unhideWhenUsed/>
    <w:rsid w:val="00AA1D8D"/>
    <w:pPr>
      <w:ind w:left="360" w:hanging="360"/>
      <w:contextualSpacing/>
    </w:pPr>
  </w:style>
  <w:style w:type="paragraph" w:styleId="Spisak2">
    <w:name w:val="List 2"/>
    <w:basedOn w:val="Normalno"/>
    <w:uiPriority w:val="99"/>
    <w:unhideWhenUsed/>
    <w:rsid w:val="00326F90"/>
    <w:pPr>
      <w:ind w:left="720" w:hanging="360"/>
      <w:contextualSpacing/>
    </w:pPr>
  </w:style>
  <w:style w:type="paragraph" w:styleId="Spisak3">
    <w:name w:val="List 3"/>
    <w:basedOn w:val="Normalno"/>
    <w:uiPriority w:val="99"/>
    <w:unhideWhenUsed/>
    <w:rsid w:val="00326F90"/>
    <w:pPr>
      <w:ind w:left="1080" w:hanging="360"/>
      <w:contextualSpacing/>
    </w:pPr>
  </w:style>
  <w:style w:type="paragraph" w:styleId="Spisaksakaraktzaisticanje">
    <w:name w:val="List Bullet"/>
    <w:basedOn w:val="Normalno"/>
    <w:uiPriority w:val="99"/>
    <w:unhideWhenUsed/>
    <w:rsid w:val="00326F90"/>
    <w:pPr>
      <w:numPr>
        <w:numId w:val="1"/>
      </w:numPr>
      <w:contextualSpacing/>
    </w:pPr>
  </w:style>
  <w:style w:type="paragraph" w:styleId="Spisaksakarakterimazaisticanje2">
    <w:name w:val="List Bullet 2"/>
    <w:basedOn w:val="Normalno"/>
    <w:uiPriority w:val="99"/>
    <w:unhideWhenUsed/>
    <w:rsid w:val="00326F90"/>
    <w:pPr>
      <w:numPr>
        <w:numId w:val="2"/>
      </w:numPr>
      <w:contextualSpacing/>
    </w:pPr>
  </w:style>
  <w:style w:type="paragraph" w:styleId="Spisaksakarakterimazaisticanje3">
    <w:name w:val="List Bullet 3"/>
    <w:basedOn w:val="Normalno"/>
    <w:uiPriority w:val="99"/>
    <w:unhideWhenUsed/>
    <w:rsid w:val="00326F90"/>
    <w:pPr>
      <w:numPr>
        <w:numId w:val="3"/>
      </w:numPr>
      <w:contextualSpacing/>
    </w:pPr>
  </w:style>
  <w:style w:type="paragraph" w:styleId="Spisaksabrojevima">
    <w:name w:val="List Number"/>
    <w:basedOn w:val="Normalno"/>
    <w:uiPriority w:val="99"/>
    <w:unhideWhenUsed/>
    <w:rsid w:val="00326F90"/>
    <w:pPr>
      <w:numPr>
        <w:numId w:val="5"/>
      </w:numPr>
      <w:contextualSpacing/>
    </w:pPr>
  </w:style>
  <w:style w:type="paragraph" w:styleId="Spisaksabrojevima2">
    <w:name w:val="List Number 2"/>
    <w:basedOn w:val="Normalno"/>
    <w:uiPriority w:val="99"/>
    <w:unhideWhenUsed/>
    <w:rsid w:val="0029639D"/>
    <w:pPr>
      <w:numPr>
        <w:numId w:val="6"/>
      </w:numPr>
      <w:contextualSpacing/>
    </w:pPr>
  </w:style>
  <w:style w:type="paragraph" w:styleId="Spisaksabrojevima3">
    <w:name w:val="List Number 3"/>
    <w:basedOn w:val="Normalno"/>
    <w:uiPriority w:val="99"/>
    <w:unhideWhenUsed/>
    <w:rsid w:val="0029639D"/>
    <w:pPr>
      <w:numPr>
        <w:numId w:val="7"/>
      </w:numPr>
      <w:contextualSpacing/>
    </w:pPr>
  </w:style>
  <w:style w:type="paragraph" w:styleId="Nastavakspiska">
    <w:name w:val="List Continue"/>
    <w:basedOn w:val="Normalno"/>
    <w:uiPriority w:val="99"/>
    <w:unhideWhenUsed/>
    <w:rsid w:val="0029639D"/>
    <w:pPr>
      <w:ind w:left="360"/>
      <w:contextualSpacing/>
    </w:pPr>
  </w:style>
  <w:style w:type="paragraph" w:styleId="Nastavakspiska2">
    <w:name w:val="List Continue 2"/>
    <w:basedOn w:val="Normalno"/>
    <w:uiPriority w:val="99"/>
    <w:unhideWhenUsed/>
    <w:rsid w:val="0029639D"/>
    <w:pPr>
      <w:ind w:left="720"/>
      <w:contextualSpacing/>
    </w:pPr>
  </w:style>
  <w:style w:type="paragraph" w:styleId="Nastavakspiska3">
    <w:name w:val="List Continue 3"/>
    <w:basedOn w:val="Normalno"/>
    <w:uiPriority w:val="99"/>
    <w:unhideWhenUsed/>
    <w:rsid w:val="0029639D"/>
    <w:pPr>
      <w:ind w:left="1080"/>
      <w:contextualSpacing/>
    </w:pPr>
  </w:style>
  <w:style w:type="paragraph" w:styleId="Tekstmakronaredbe">
    <w:name w:val="macro"/>
    <w:link w:val="Tekstmakronaredbe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Znak">
    <w:name w:val="Tekst makronaredbe Znak"/>
    <w:basedOn w:val="Zadanifontparagrafa"/>
    <w:link w:val="Tekstmakronaredbe"/>
    <w:uiPriority w:val="99"/>
    <w:rsid w:val="0029639D"/>
    <w:rPr>
      <w:rFonts w:ascii="Courier" w:hAnsi="Courier"/>
      <w:sz w:val="20"/>
      <w:szCs w:val="20"/>
    </w:rPr>
  </w:style>
  <w:style w:type="paragraph" w:styleId="Citat">
    <w:name w:val="Quote"/>
    <w:basedOn w:val="Normalno"/>
    <w:next w:val="Normalno"/>
    <w:link w:val="CitatZnak"/>
    <w:uiPriority w:val="29"/>
    <w:qFormat/>
    <w:rsid w:val="00FC693F"/>
    <w:rPr>
      <w:i/>
      <w:iCs/>
      <w:color w:val="000000" w:themeColor="text1"/>
    </w:rPr>
  </w:style>
  <w:style w:type="character" w:customStyle="1" w:styleId="CitatZnak">
    <w:name w:val="Citat Znak"/>
    <w:basedOn w:val="Zadanifontparagrafa"/>
    <w:link w:val="Citat"/>
    <w:uiPriority w:val="29"/>
    <w:rsid w:val="00FC693F"/>
    <w:rPr>
      <w:i/>
      <w:iCs/>
      <w:color w:val="000000" w:themeColor="text1"/>
    </w:rPr>
  </w:style>
  <w:style w:type="character" w:customStyle="1" w:styleId="Naslov4Znak">
    <w:name w:val="Naslov 4 Znak"/>
    <w:basedOn w:val="Zadanifontparagraf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Zadanifontparagraf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Zadanifontparagraf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Zadanifontparagraf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Zadanifontparagraf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Zadanifontparagraf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no"/>
    <w:next w:val="Normalno"/>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paragrafa"/>
    <w:uiPriority w:val="22"/>
    <w:qFormat/>
    <w:rsid w:val="00FC693F"/>
    <w:rPr>
      <w:b/>
      <w:bCs/>
    </w:rPr>
  </w:style>
  <w:style w:type="character" w:styleId="Naglaavanje">
    <w:name w:val="Emphasis"/>
    <w:basedOn w:val="Zadanifontparagrafa"/>
    <w:uiPriority w:val="20"/>
    <w:qFormat/>
    <w:rsid w:val="00FC693F"/>
    <w:rPr>
      <w:i/>
      <w:iCs/>
    </w:rPr>
  </w:style>
  <w:style w:type="paragraph" w:styleId="Snanicitat">
    <w:name w:val="Intense Quote"/>
    <w:basedOn w:val="Normalno"/>
    <w:next w:val="Normalno"/>
    <w:link w:val="Snani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nanicitatZnak">
    <w:name w:val="Snažni citat Znak"/>
    <w:basedOn w:val="Zadanifontparagrafa"/>
    <w:link w:val="Snanicitat"/>
    <w:uiPriority w:val="30"/>
    <w:rsid w:val="00FC693F"/>
    <w:rPr>
      <w:b/>
      <w:bCs/>
      <w:i/>
      <w:iCs/>
      <w:color w:val="4F81BD" w:themeColor="accent1"/>
    </w:rPr>
  </w:style>
  <w:style w:type="character" w:styleId="Fininaglasak">
    <w:name w:val="Subtle Emphasis"/>
    <w:basedOn w:val="Zadanifontparagrafa"/>
    <w:uiPriority w:val="19"/>
    <w:qFormat/>
    <w:rsid w:val="00FC693F"/>
    <w:rPr>
      <w:i/>
      <w:iCs/>
      <w:color w:val="808080" w:themeColor="text1" w:themeTint="7F"/>
    </w:rPr>
  </w:style>
  <w:style w:type="character" w:styleId="Snaninaglasak">
    <w:name w:val="Intense Emphasis"/>
    <w:basedOn w:val="Zadanifontparagrafa"/>
    <w:uiPriority w:val="21"/>
    <w:qFormat/>
    <w:rsid w:val="00FC693F"/>
    <w:rPr>
      <w:b/>
      <w:bCs/>
      <w:i/>
      <w:iCs/>
      <w:color w:val="4F81BD" w:themeColor="accent1"/>
    </w:rPr>
  </w:style>
  <w:style w:type="character" w:styleId="Finareferenca">
    <w:name w:val="Subtle Reference"/>
    <w:basedOn w:val="Zadanifontparagrafa"/>
    <w:uiPriority w:val="31"/>
    <w:qFormat/>
    <w:rsid w:val="00FC693F"/>
    <w:rPr>
      <w:smallCaps/>
      <w:color w:val="C0504D" w:themeColor="accent2"/>
      <w:u w:val="single"/>
    </w:rPr>
  </w:style>
  <w:style w:type="character" w:styleId="Snanareferenca">
    <w:name w:val="Intense Reference"/>
    <w:basedOn w:val="Zadanifontparagrafa"/>
    <w:uiPriority w:val="32"/>
    <w:qFormat/>
    <w:rsid w:val="00FC693F"/>
    <w:rPr>
      <w:b/>
      <w:bCs/>
      <w:smallCaps/>
      <w:color w:val="C0504D" w:themeColor="accent2"/>
      <w:spacing w:val="5"/>
      <w:u w:val="single"/>
    </w:rPr>
  </w:style>
  <w:style w:type="character" w:styleId="Naslovknjige">
    <w:name w:val="Book Title"/>
    <w:basedOn w:val="Zadanifontparagrafa"/>
    <w:uiPriority w:val="33"/>
    <w:qFormat/>
    <w:rsid w:val="00FC693F"/>
    <w:rPr>
      <w:b/>
      <w:bCs/>
      <w:smallCaps/>
      <w:spacing w:val="5"/>
    </w:rPr>
  </w:style>
  <w:style w:type="paragraph" w:styleId="Naslovsadraja">
    <w:name w:val="TOC Heading"/>
    <w:basedOn w:val="Naslov1"/>
    <w:next w:val="Normalno"/>
    <w:uiPriority w:val="39"/>
    <w:semiHidden/>
    <w:unhideWhenUsed/>
    <w:qFormat/>
    <w:rsid w:val="00FC693F"/>
    <w:pPr>
      <w:outlineLvl w:val="9"/>
    </w:pPr>
  </w:style>
  <w:style w:type="table" w:styleId="Koordinatnamreatabele">
    <w:name w:val="Table Grid"/>
    <w:basedOn w:val="Normal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enje">
    <w:name w:val="Light Shading"/>
    <w:basedOn w:val="Normal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enje-naglasak1">
    <w:name w:val="Light Shading Accent 1"/>
    <w:basedOn w:val="Normal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enje-naglasak2">
    <w:name w:val="Light Shading Accent 2"/>
    <w:basedOn w:val="Normal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enje-naglasak3">
    <w:name w:val="Light Shading Accent 3"/>
    <w:basedOn w:val="Normal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enje-naglasak4">
    <w:name w:val="Light Shading Accent 4"/>
    <w:basedOn w:val="Normal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enje-naglasak5">
    <w:name w:val="Light Shading Accent 5"/>
    <w:basedOn w:val="Normal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enje-naglasak6">
    <w:name w:val="Light Shading Accent 6"/>
    <w:basedOn w:val="Normal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spisak">
    <w:name w:val="Light List"/>
    <w:basedOn w:val="Normal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alista-naglasak1">
    <w:name w:val="Light List Accent 1"/>
    <w:basedOn w:val="Normal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spisak-naglasak2">
    <w:name w:val="Light List Accent 2"/>
    <w:basedOn w:val="Normal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spisak-naglasak3">
    <w:name w:val="Light List Accent 3"/>
    <w:basedOn w:val="Normal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alista-naglasak4">
    <w:name w:val="Light List Accent 4"/>
    <w:basedOn w:val="Normal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spisak-naglasak5">
    <w:name w:val="Light List Accent 5"/>
    <w:basedOn w:val="Normal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ijetlispisak-naglasak6">
    <w:name w:val="Light List Accent 6"/>
    <w:basedOn w:val="Normal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koordinatnamrea">
    <w:name w:val="Light Grid"/>
    <w:basedOn w:val="Normal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koordinatnamrea-naglasak1">
    <w:name w:val="Light Grid Accent 1"/>
    <w:basedOn w:val="Normal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koordinatnamrea-naglasak2">
    <w:name w:val="Light Grid Accent 2"/>
    <w:basedOn w:val="Normal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koordinatnamrea-naglasak3">
    <w:name w:val="Light Grid Accent 3"/>
    <w:basedOn w:val="Normal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koordinatnamrea-naglasak4">
    <w:name w:val="Light Grid Accent 4"/>
    <w:basedOn w:val="Normal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koordinatnamrea-naglasak5">
    <w:name w:val="Light Grid Accent 5"/>
    <w:basedOn w:val="Normal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ijetlakoordinatnamrea-naglasak6">
    <w:name w:val="Light Grid Accent 6"/>
    <w:basedOn w:val="Normal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enje1">
    <w:name w:val="Medium Shading 1"/>
    <w:basedOn w:val="Normal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enje1-naglasak1">
    <w:name w:val="Medium Shading 1 Accent 1"/>
    <w:basedOn w:val="Normal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enje1-naglasak2">
    <w:name w:val="Medium Shading 1 Accent 2"/>
    <w:basedOn w:val="Normal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enje1-naglasak3">
    <w:name w:val="Medium Shading 1 Accent 3"/>
    <w:basedOn w:val="Normal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enje1-naglasak4">
    <w:name w:val="Medium Shading 1 Accent 4"/>
    <w:basedOn w:val="Normal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enje1-naglasak5">
    <w:name w:val="Medium Shading 1 Accent 5"/>
    <w:basedOn w:val="Normal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enje1-naglasak6">
    <w:name w:val="Medium Shading 1 Accent 6"/>
    <w:basedOn w:val="Normal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enje2">
    <w:name w:val="Medium Shading 2"/>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1">
    <w:name w:val="Medium Shading 2 Accent 1"/>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2">
    <w:name w:val="Medium Shading 2 Accent 2"/>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3">
    <w:name w:val="Medium Shading 2 Accent 3"/>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4">
    <w:name w:val="Medium Shading 2 Accent 4"/>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5">
    <w:name w:val="Medium Shading 2 Accent 5"/>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6">
    <w:name w:val="Medium Shading 2 Accent 6"/>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pisak1">
    <w:name w:val="Medium List 1"/>
    <w:basedOn w:val="Normal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pisak1-naglasak1">
    <w:name w:val="Medium List 1 Accent 1"/>
    <w:basedOn w:val="Normal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alista1-naglasak2">
    <w:name w:val="Medium List 1 Accent 2"/>
    <w:basedOn w:val="Normal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pisak1-naglasak3">
    <w:name w:val="Medium List 1 Accent 3"/>
    <w:basedOn w:val="Normal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pisak1-naglasak4">
    <w:name w:val="Medium List 1 Accent 4"/>
    <w:basedOn w:val="Normal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pisak1-naglasak5">
    <w:name w:val="Medium List 1 Accent 5"/>
    <w:basedOn w:val="Normal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pisak1-naglasak6">
    <w:name w:val="Medium List 1 Accent 6"/>
    <w:basedOn w:val="Normal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pisak2">
    <w:name w:val="Medium List 2"/>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1">
    <w:name w:val="Medium List 2 Accent 1"/>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sak2">
    <w:name w:val="Medium List 2 Accent 2"/>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3">
    <w:name w:val="Medium List 2 Accent 3"/>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4">
    <w:name w:val="Medium List 2 Accent 4"/>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5">
    <w:name w:val="Medium List 2 Accent 5"/>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6">
    <w:name w:val="Medium List 2 Accent 6"/>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sak1">
    <w:name w:val="Medium Grid 1 Accent 1"/>
    <w:basedOn w:val="Normal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koordinatnamrea1-naglasak2">
    <w:name w:val="Medium Grid 1 Accent 2"/>
    <w:basedOn w:val="Normal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koordinatnamrea1-naglasak3">
    <w:name w:val="Medium Grid 1 Accent 3"/>
    <w:basedOn w:val="Normal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koordinatnamrea1-naglasak4">
    <w:name w:val="Medium Grid 1 Accent 4"/>
    <w:basedOn w:val="Normal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koordinatnamrea1-naglasak5">
    <w:name w:val="Medium Grid 1 Accent 5"/>
    <w:basedOn w:val="Normal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koordinatnamrea1-naglasak6">
    <w:name w:val="Medium Grid 1 Accent 6"/>
    <w:basedOn w:val="Normal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koordinatnamrea2">
    <w:name w:val="Medium Grid 2"/>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sak1">
    <w:name w:val="Medium Grid 2 Accent 1"/>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koordinatnamrea2-naglasak2">
    <w:name w:val="Medium Grid 2 Accent 2"/>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koordinatnamrea2-naglasak3">
    <w:name w:val="Medium Grid 2 Accent 3"/>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koordinatnamrea2-naglasak4">
    <w:name w:val="Medium Grid 2 Accent 4"/>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koordinatnamrea2-naglasak5">
    <w:name w:val="Medium Grid 2 Accent 5"/>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koordinatnamrea2-naglasak6">
    <w:name w:val="Medium Grid 2 Accent 6"/>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sak1">
    <w:name w:val="Medium Grid 3 Accent 1"/>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koordinatnamrea3-naglasak2">
    <w:name w:val="Medium Grid 3 Accent 2"/>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koordinatnamrea3-naglasak3">
    <w:name w:val="Medium Grid 3 Accent 3"/>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koordinatnamrea3-naglasak4">
    <w:name w:val="Medium Grid 3 Accent 4"/>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koordinatnamrea3-naglasak5">
    <w:name w:val="Medium Grid 3 Accent 5"/>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koordinatnamrea3-naglasak6">
    <w:name w:val="Medium Grid 3 Accent 6"/>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spisak">
    <w:name w:val="Dark List"/>
    <w:basedOn w:val="Normal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spisak-naglasak1">
    <w:name w:val="Dark List Accent 1"/>
    <w:basedOn w:val="Normal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spisak-naglasak2">
    <w:name w:val="Dark List Accent 2"/>
    <w:basedOn w:val="Normal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spisak-naglasak3">
    <w:name w:val="Dark List Accent 3"/>
    <w:basedOn w:val="Normal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alista-naglasak4">
    <w:name w:val="Dark List Accent 4"/>
    <w:basedOn w:val="Normal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spisak-naglasak5">
    <w:name w:val="Dark List Accent 5"/>
    <w:basedOn w:val="Normal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spisak-naglasak6">
    <w:name w:val="Dark List Accent 6"/>
    <w:basedOn w:val="Normal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enosjenenje">
    <w:name w:val="Colorful Shading"/>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jenenje-naglasak1">
    <w:name w:val="Colorful Shading Accent 1"/>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Obojenosjenenje-naglasak2">
    <w:name w:val="Colorful Shading Accent 2"/>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enosjenenje-naglasak3">
    <w:name w:val="Colorful Shading Accent 3"/>
    <w:basedOn w:val="Normal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enonijansireanje-naglasak4">
    <w:name w:val="Colorful Shading Accent 4"/>
    <w:basedOn w:val="Normal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enosjenenje-naglasak5">
    <w:name w:val="Colorful Shading Accent 5"/>
    <w:basedOn w:val="Normal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enosjenenje-naglasak6">
    <w:name w:val="Colorful Shading Accent 6"/>
    <w:basedOn w:val="Normal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enispisak">
    <w:name w:val="Colorful List"/>
    <w:basedOn w:val="Normal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ispisak-naglasak1">
    <w:name w:val="Colorful List Accent 1"/>
    <w:basedOn w:val="Normal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enispisak-naglasak2">
    <w:name w:val="Colorful List Accent 2"/>
    <w:basedOn w:val="Normal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enispisak-naglasak3">
    <w:name w:val="Colorful List Accent 3"/>
    <w:basedOn w:val="Normal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enispisak-naglasak4">
    <w:name w:val="Colorful List Accent 4"/>
    <w:basedOn w:val="Normal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enispisak-naglasak5">
    <w:name w:val="Colorful List Accent 5"/>
    <w:basedOn w:val="Normal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enispisak-naglasak6">
    <w:name w:val="Colorful List Accent 6"/>
    <w:basedOn w:val="Normal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enakoordinatnamrea">
    <w:name w:val="Colorful Grid"/>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sak1">
    <w:name w:val="Colorful Grid Accent 1"/>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enakoordinatnamrea-naglasak2">
    <w:name w:val="Colorful Grid Accent 2"/>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enakoordinatnamrea-naglasak3">
    <w:name w:val="Colorful Grid Accent 3"/>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enakoordinatnamrea-naglasak4">
    <w:name w:val="Colorful Grid Accent 4"/>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enakoordinatnamrea-naglasak5">
    <w:name w:val="Colorful Grid Accent 5"/>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enakoordinatnamrea-naglasak6">
    <w:name w:val="Colorful Grid Accent 6"/>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slovrada">
    <w:name w:val="Naslov r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6151</Words>
  <Characters>35062</Characters>
  <Application>Microsoft Office Word</Application>
  <DocSecurity>0</DocSecurity>
  <Lines>292</Lines>
  <Paragraphs>82</Paragraphs>
  <ScaleCrop>false</ScaleCrop>
  <HeadingPairs>
    <vt:vector size="4" baseType="variant">
      <vt:variant>
        <vt:lpstr>Naslov</vt:lpstr>
      </vt:variant>
      <vt:variant>
        <vt:i4>1</vt:i4>
      </vt:variant>
      <vt:variant>
        <vt:lpstr>Титле</vt:lpstr>
      </vt:variant>
      <vt:variant>
        <vt:i4>1</vt:i4>
      </vt:variant>
    </vt:vector>
  </HeadingPairs>
  <TitlesOfParts>
    <vt:vector size="2" baseType="lpstr">
      <vt:lpstr>Пуно каско осигурање без пуног покрића</vt:lpstr>
      <vt:lpstr/>
    </vt:vector>
  </TitlesOfParts>
  <Manager/>
  <Company/>
  <LinksUpToDate>false</LinksUpToDate>
  <CharactersWithSpaces>41131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Пуно каско осигурање без пуног покрића</dc:title>
  <dc:subject>БУМ 2026 конференцијска верзија</dc:subject>
  <dc:creator>Драган Станишић;Никола Тривић</dc:creator>
  <cp:keywords/>
  <dc:description/>
  <cp:lastModifiedBy>Advokat</cp:lastModifiedBy>
  <cp:revision>2</cp:revision>
  <dcterms:created xsi:type="dcterms:W3CDTF">2026-06-22T09:44:00Z</dcterms:created>
  <dcterms:modified xsi:type="dcterms:W3CDTF">2026-06-22T10:03:00Z</dcterms:modified>
  <cp:category/>
</cp:coreProperties>
</file>