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1A3" w:rsidRPr="00497A0F" w:rsidRDefault="003F1EC0" w:rsidP="003F1EC0">
      <w:pPr>
        <w:pStyle w:val="Autor"/>
        <w:tabs>
          <w:tab w:val="left" w:pos="510"/>
          <w:tab w:val="left" w:pos="1260"/>
          <w:tab w:val="center" w:pos="4394"/>
        </w:tabs>
        <w:spacing w:before="2880"/>
        <w:jc w:val="left"/>
        <w:rPr>
          <w:color w:val="auto"/>
        </w:rPr>
      </w:pPr>
      <w:r w:rsidRPr="00497A0F">
        <w:rPr>
          <w:color w:val="auto"/>
        </w:rPr>
        <w:tab/>
      </w:r>
      <w:r w:rsidRPr="00497A0F">
        <w:rPr>
          <w:color w:val="auto"/>
        </w:rPr>
        <w:tab/>
      </w:r>
      <w:r w:rsidRPr="00497A0F">
        <w:rPr>
          <w:color w:val="auto"/>
        </w:rPr>
        <w:tab/>
      </w:r>
      <w:r w:rsidRPr="00497A0F">
        <w:rPr>
          <w:noProof/>
          <w:lang w:val="bs-Latn-BA" w:eastAsia="bs-Latn-BA"/>
        </w:rPr>
        <mc:AlternateContent>
          <mc:Choice Requires="wps">
            <w:drawing>
              <wp:anchor distT="36576" distB="36576" distL="36576" distR="36576" simplePos="0" relativeHeight="251657728" behindDoc="0" locked="0" layoutInCell="1" allowOverlap="1">
                <wp:simplePos x="0" y="0"/>
                <wp:positionH relativeFrom="page">
                  <wp:posOffset>1977390</wp:posOffset>
                </wp:positionH>
                <wp:positionV relativeFrom="page">
                  <wp:posOffset>690880</wp:posOffset>
                </wp:positionV>
                <wp:extent cx="5255895" cy="2030730"/>
                <wp:effectExtent l="0" t="0" r="8255" b="127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2030730"/>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E76765" w:rsidRPr="002E2BD5" w:rsidRDefault="00E76765" w:rsidP="00367EF0">
                            <w:pPr>
                              <w:pStyle w:val="Naslov"/>
                              <w:rPr>
                                <w:rFonts w:ascii="Tahoma" w:hAnsi="Tahoma" w:cs="Tahoma"/>
                              </w:rPr>
                            </w:pPr>
                            <w:r w:rsidRPr="002E2BD5">
                              <w:rPr>
                                <w:rFonts w:ascii="Tahoma" w:hAnsi="Tahoma" w:cs="Tahoma"/>
                              </w:rPr>
                              <w:t>Saobraćajno vještačenje kao dokazno sredstvo, pravna i tehnička pitanja</w:t>
                            </w:r>
                          </w:p>
                          <w:p w:rsidR="00E76765" w:rsidRPr="00CD2204" w:rsidRDefault="00E76765" w:rsidP="002E2BD5">
                            <w:pPr>
                              <w:pStyle w:val="Naslov"/>
                              <w:spacing w:after="0"/>
                              <w:rPr>
                                <w:rFonts w:ascii="Tahoma" w:hAnsi="Tahoma" w:cs="Tahoma"/>
                              </w:rPr>
                            </w:pPr>
                            <w:r w:rsidRPr="00CD2204">
                              <w:rPr>
                                <w:rFonts w:ascii="Tahoma" w:hAnsi="Tahoma" w:cs="Tahoma"/>
                                <w:color w:val="222222"/>
                                <w:shd w:val="clear" w:color="auto" w:fill="FFFFFF"/>
                              </w:rPr>
                              <w:t>TRAFFIC ACCIDENT EXPERTISE AS evidence, LEGAL AND TECHNICAL QUESTIONS</w:t>
                            </w:r>
                          </w:p>
                          <w:p w:rsidR="00E76765" w:rsidRPr="002E2BD5" w:rsidRDefault="00E76765" w:rsidP="002E2BD5">
                            <w:pPr>
                              <w:pStyle w:val="Naslov"/>
                              <w:rPr>
                                <w:rFonts w:ascii="Tahoma" w:hAnsi="Tahoma" w:cs="Tahom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155.7pt;margin-top:54.4pt;width:413.85pt;height:159.9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" stroked="f" strokeweight="0" insetpen="t">
                <v:shadow color="#ccc"/>
                <o:lock v:ext="edit" shapetype="t"/>
                <v:textbox inset="2.88pt,2.88pt,2.88pt,2.88pt">
                  <w:txbxContent>
                    <w:p w:rsidR="00E76765" w:rsidRPr="002E2BD5" w:rsidRDefault="00E76765" w:rsidP="00367EF0">
                      <w:pPr>
                        <w:pStyle w:val="Naslov"/>
                        <w:rPr>
                          <w:rFonts w:ascii="Tahoma" w:hAnsi="Tahoma" w:cs="Tahoma"/>
                        </w:rPr>
                      </w:pPr>
                      <w:r w:rsidRPr="002E2BD5">
                        <w:rPr>
                          <w:rFonts w:ascii="Tahoma" w:hAnsi="Tahoma" w:cs="Tahoma"/>
                        </w:rPr>
                        <w:t>Saobraćajno vještačenje kao dokazno sredstvo, pravna i tehnička pitanja</w:t>
                      </w:r>
                    </w:p>
                    <w:p w:rsidR="00E76765" w:rsidRPr="00CD2204" w:rsidRDefault="00E76765" w:rsidP="002E2BD5">
                      <w:pPr>
                        <w:pStyle w:val="Naslov"/>
                        <w:spacing w:after="0"/>
                        <w:rPr>
                          <w:rFonts w:ascii="Tahoma" w:hAnsi="Tahoma" w:cs="Tahoma"/>
                        </w:rPr>
                      </w:pPr>
                      <w:r w:rsidRPr="00CD2204">
                        <w:rPr>
                          <w:rFonts w:ascii="Tahoma" w:hAnsi="Tahoma" w:cs="Tahoma"/>
                          <w:color w:val="222222"/>
                          <w:shd w:val="clear" w:color="auto" w:fill="FFFFFF"/>
                        </w:rPr>
                        <w:t>TRAFFIC ACCIDENT EXPERTISE AS evidence, LEGAL AND TECHNICAL QUESTIONS</w:t>
                      </w:r>
                    </w:p>
                    <w:p w:rsidR="00E76765" w:rsidRPr="002E2BD5" w:rsidRDefault="00E76765" w:rsidP="002E2BD5">
                      <w:pPr>
                        <w:pStyle w:val="Naslov"/>
                        <w:rPr>
                          <w:rFonts w:ascii="Tahoma" w:hAnsi="Tahoma" w:cs="Tahoma"/>
                        </w:rPr>
                      </w:pPr>
                    </w:p>
                  </w:txbxContent>
                </v:textbox>
                <w10:wrap anchorx="page" anchory="page"/>
              </v:roundrect>
            </w:pict>
          </mc:Fallback>
        </mc:AlternateContent>
      </w:r>
      <w:r w:rsidR="005E3757" w:rsidRPr="00497A0F">
        <w:rPr>
          <w:color w:val="auto"/>
        </w:rPr>
        <w:t>Dragan Stanišić</w:t>
      </w:r>
      <w:r w:rsidR="004D01A3" w:rsidRPr="00497A0F">
        <w:rPr>
          <w:rStyle w:val="FootnoteReference"/>
          <w:b w:val="0"/>
          <w:color w:val="auto"/>
          <w:spacing w:val="-2"/>
          <w:sz w:val="20"/>
          <w:szCs w:val="20"/>
        </w:rPr>
        <w:footnoteReference w:id="1"/>
      </w:r>
      <w:r w:rsidR="00EA633E" w:rsidRPr="00497A0F">
        <w:rPr>
          <w:color w:val="auto"/>
        </w:rPr>
        <w:t>, Milan Vujanić</w:t>
      </w:r>
      <w:r w:rsidR="00EA633E" w:rsidRPr="00497A0F">
        <w:rPr>
          <w:color w:val="auto"/>
          <w:vertAlign w:val="superscript"/>
        </w:rPr>
        <w:t>2</w:t>
      </w:r>
      <w:r w:rsidR="007E15FB" w:rsidRPr="00497A0F">
        <w:rPr>
          <w:color w:val="auto"/>
        </w:rPr>
        <w:t xml:space="preserve"> </w:t>
      </w:r>
    </w:p>
    <w:p w:rsidR="007E15FB" w:rsidRPr="00497A0F" w:rsidRDefault="007E15FB" w:rsidP="007E15FB">
      <w:pPr>
        <w:pStyle w:val="Rezime"/>
        <w:rPr>
          <w:lang w:val="sr-Latn-RS"/>
        </w:rPr>
      </w:pPr>
      <w:r w:rsidRPr="00497A0F">
        <w:rPr>
          <w:b/>
          <w:bCs/>
          <w:i w:val="0"/>
          <w:lang w:val="sr-Latn-RS"/>
        </w:rPr>
        <w:t xml:space="preserve">Rezime: </w:t>
      </w:r>
      <w:r w:rsidRPr="00497A0F">
        <w:rPr>
          <w:lang w:val="sr-Latn-RS"/>
        </w:rPr>
        <w:t xml:space="preserve">Tema rada je saobraćajno vještačenje u </w:t>
      </w:r>
      <w:r w:rsidR="00BB1572" w:rsidRPr="00497A0F">
        <w:rPr>
          <w:lang w:val="sr-Latn-RS"/>
        </w:rPr>
        <w:t>krivičnom</w:t>
      </w:r>
      <w:r w:rsidRPr="00497A0F">
        <w:rPr>
          <w:lang w:val="sr-Latn-RS"/>
        </w:rPr>
        <w:t xml:space="preserve">  postupku, specifičnosti i razgraničenje uloga suda i vještaka</w:t>
      </w:r>
      <w:r w:rsidR="006305DD">
        <w:rPr>
          <w:lang w:val="sr-Latn-RS"/>
        </w:rPr>
        <w:t>,</w:t>
      </w:r>
      <w:r w:rsidRPr="00497A0F">
        <w:rPr>
          <w:lang w:val="sr-Latn-RS"/>
        </w:rPr>
        <w:t xml:space="preserve"> </w:t>
      </w:r>
      <w:r w:rsidR="006305DD">
        <w:rPr>
          <w:lang w:val="sr-Latn-RS"/>
        </w:rPr>
        <w:t>k</w:t>
      </w:r>
      <w:r w:rsidRPr="00497A0F">
        <w:rPr>
          <w:lang w:val="sr-Latn-RS"/>
        </w:rPr>
        <w:t>oja su  pravna pitanja na koje odgovor treba da da sudija, a koja tehnička pitanja na odgovor daje vještak, na koji način sud treba da rukovodi vještačenjem, šta se smatra ispunjenim zadatkom vještaka, kada treba tražiti dopunu vještačenja, a kada sud treba da imenuje drugog vještaka.</w:t>
      </w:r>
    </w:p>
    <w:p w:rsidR="007E15FB" w:rsidRPr="00497A0F" w:rsidRDefault="007E15FB" w:rsidP="007E15FB">
      <w:pPr>
        <w:pStyle w:val="KljucneReci"/>
        <w:rPr>
          <w:lang w:val="sr-Latn-RS"/>
        </w:rPr>
      </w:pPr>
      <w:r w:rsidRPr="00497A0F">
        <w:rPr>
          <w:b/>
          <w:bCs/>
          <w:lang w:val="sr-Latn-RS"/>
        </w:rPr>
        <w:t>KLjUČNE REČI:</w:t>
      </w:r>
      <w:r w:rsidRPr="00497A0F">
        <w:rPr>
          <w:b/>
          <w:bCs/>
          <w:lang w:val="sr-Latn-RS"/>
        </w:rPr>
        <w:tab/>
      </w:r>
      <w:r w:rsidRPr="00497A0F">
        <w:rPr>
          <w:lang w:val="sr-Latn-RS"/>
        </w:rPr>
        <w:t xml:space="preserve">VEŠTAČENjE SAOBRAĆAJNE NEZGODE, VEŠTAK, GRADACIJA STAVOVA VEŠTAKA, SUDSKI POSTUPAK, </w:t>
      </w:r>
      <w:r w:rsidR="009B02B8" w:rsidRPr="00497A0F">
        <w:rPr>
          <w:lang w:val="sr-Latn-RS"/>
        </w:rPr>
        <w:t xml:space="preserve"> radnje</w:t>
      </w:r>
      <w:r w:rsidRPr="00497A0F">
        <w:rPr>
          <w:lang w:val="sr-Latn-RS"/>
        </w:rPr>
        <w:t xml:space="preserve"> učesnika nezgode</w:t>
      </w:r>
    </w:p>
    <w:p w:rsidR="007E15FB" w:rsidRPr="00497A0F" w:rsidRDefault="007E15FB" w:rsidP="007E15FB">
      <w:pPr>
        <w:pStyle w:val="KljucneReci"/>
        <w:rPr>
          <w:lang w:val="sr-Latn-RS"/>
        </w:rPr>
      </w:pPr>
    </w:p>
    <w:p w:rsidR="007E15FB" w:rsidRPr="00497A0F" w:rsidRDefault="007E15FB" w:rsidP="007E15FB">
      <w:pPr>
        <w:pStyle w:val="Rezime"/>
        <w:rPr>
          <w:color w:val="000000"/>
          <w:lang w:val="sr-Latn-RS"/>
        </w:rPr>
      </w:pPr>
      <w:r w:rsidRPr="00497A0F">
        <w:rPr>
          <w:b/>
          <w:i w:val="0"/>
          <w:lang w:val="en-GB"/>
        </w:rPr>
        <w:t>Abstract:</w:t>
      </w:r>
      <w:r w:rsidRPr="00497A0F">
        <w:rPr>
          <w:lang w:val="en-GB"/>
        </w:rPr>
        <w:t xml:space="preserve"> </w:t>
      </w:r>
      <w:r w:rsidR="00BB1572" w:rsidRPr="00497A0F">
        <w:rPr>
          <w:lang w:val="en-GB"/>
        </w:rPr>
        <w:t xml:space="preserve">The topic of the paper is traffic expert witnessing in criminal proceedings, its specificities, and the demarcation of the roles between the court and the expert. It addresses the legal questions that should be answered by the judge and the technical questions that should be answered by the expert. The paper explores how the court should manage expert witnessing, what is considered </w:t>
      </w:r>
      <w:proofErr w:type="spellStart"/>
      <w:r w:rsidR="00BB1572" w:rsidRPr="00497A0F">
        <w:rPr>
          <w:lang w:val="en-GB"/>
        </w:rPr>
        <w:t>fulfillment</w:t>
      </w:r>
      <w:proofErr w:type="spellEnd"/>
      <w:r w:rsidR="00BB1572" w:rsidRPr="00497A0F">
        <w:rPr>
          <w:lang w:val="en-GB"/>
        </w:rPr>
        <w:t xml:space="preserve"> of the expert's task, when an extension of the expert's report should be requested, and when the court should appoint another expert.</w:t>
      </w:r>
    </w:p>
    <w:p w:rsidR="007E15FB" w:rsidRPr="00497A0F" w:rsidRDefault="007E15FB" w:rsidP="007E15FB">
      <w:pPr>
        <w:pStyle w:val="Rezime"/>
        <w:rPr>
          <w:b/>
          <w:bCs/>
          <w:lang w:val="en-GB"/>
        </w:rPr>
      </w:pPr>
      <w:r w:rsidRPr="00497A0F">
        <w:rPr>
          <w:color w:val="000000"/>
          <w:lang w:val="sr-Latn-RS"/>
        </w:rPr>
        <w:t xml:space="preserve">KEY WORDS: </w:t>
      </w:r>
      <w:r w:rsidRPr="00497A0F">
        <w:rPr>
          <w:caps/>
          <w:color w:val="222222"/>
          <w:shd w:val="clear" w:color="auto" w:fill="FFFFFF"/>
          <w:lang w:val="sr-Latn-RS"/>
        </w:rPr>
        <w:t>TRAFFIC ACCIDENT EXPERTISE, evidence, LEGAL AND TECHNICAL,</w:t>
      </w:r>
      <w:r w:rsidRPr="00497A0F">
        <w:rPr>
          <w:caps/>
          <w:color w:val="000000"/>
          <w:lang w:val="sr-Latn-RS"/>
        </w:rPr>
        <w:t xml:space="preserve"> experts, graduation ATTITUDES OF EXPERTS, court proceedings, OMISSIONS PARTICIPANT INCIDENT</w:t>
      </w:r>
    </w:p>
    <w:p w:rsidR="0091768C" w:rsidRPr="00497A0F" w:rsidRDefault="0091768C" w:rsidP="007E15FB">
      <w:pPr>
        <w:pStyle w:val="Rezime"/>
        <w:rPr>
          <w:b/>
          <w:bCs/>
          <w:lang w:val="en-GB"/>
        </w:rPr>
      </w:pPr>
    </w:p>
    <w:p w:rsidR="0091768C" w:rsidRPr="00497A0F" w:rsidRDefault="0091768C" w:rsidP="005F6724">
      <w:pPr>
        <w:pStyle w:val="KljucneReci"/>
        <w:rPr>
          <w:b/>
          <w:bCs/>
          <w:lang w:val="en-GB"/>
        </w:rPr>
      </w:pPr>
    </w:p>
    <w:p w:rsidR="001E5F62" w:rsidRPr="00497A0F" w:rsidRDefault="001E5F62" w:rsidP="005F6724">
      <w:pPr>
        <w:pStyle w:val="KljucneReci"/>
        <w:rPr>
          <w:b/>
          <w:bCs/>
          <w:lang w:val="en-GB"/>
        </w:rPr>
      </w:pPr>
    </w:p>
    <w:p w:rsidR="00E24EB4" w:rsidRPr="00497A0F" w:rsidRDefault="00E24EB4" w:rsidP="005F6724">
      <w:pPr>
        <w:pStyle w:val="KljucneReci"/>
        <w:rPr>
          <w:b/>
          <w:bCs/>
          <w:lang w:val="en-GB"/>
        </w:rPr>
      </w:pPr>
    </w:p>
    <w:p w:rsidR="006447B5" w:rsidRPr="00E678EF" w:rsidRDefault="006447B5" w:rsidP="006447B5">
      <w:pPr>
        <w:pStyle w:val="ListParagraph"/>
        <w:numPr>
          <w:ilvl w:val="0"/>
          <w:numId w:val="27"/>
        </w:numPr>
        <w:rPr>
          <w:rFonts w:cs="Arial"/>
          <w:b/>
          <w:sz w:val="20"/>
          <w:szCs w:val="20"/>
        </w:rPr>
      </w:pPr>
      <w:bookmarkStart w:id="0" w:name="_Toc514016025"/>
      <w:r w:rsidRPr="00E678EF">
        <w:rPr>
          <w:rFonts w:cs="Arial"/>
          <w:b/>
          <w:sz w:val="20"/>
          <w:szCs w:val="20"/>
        </w:rPr>
        <w:t>UVOD</w:t>
      </w:r>
    </w:p>
    <w:p w:rsidR="006447B5" w:rsidRPr="006447B5" w:rsidRDefault="006447B5" w:rsidP="006447B5">
      <w:pPr>
        <w:rPr>
          <w:rFonts w:cs="Arial"/>
          <w:sz w:val="20"/>
          <w:szCs w:val="20"/>
        </w:rPr>
      </w:pPr>
      <w:r w:rsidRPr="006447B5">
        <w:rPr>
          <w:rFonts w:cs="Arial"/>
          <w:sz w:val="20"/>
          <w:szCs w:val="20"/>
        </w:rPr>
        <w:t>Vještačenje je jedna od najvažnijih procesnih radnji krivičnog postupka. Vještačenje je dokazno sredstvo koje se određuje kada za utvrđivanje i ocjenu neke važne činjenice treba pribaviti nalaz i mišljenja lica koja raspolažu stručnim znanjima, odnosno vještinama, a koja znanja/vještine sud ne posjeduje. Osim u krivičnom postupku, vještačenje kao procesnu radnju nalazimo i u drugim pravnim postupcima (npr. građanskom postupku, prekršajnom postupku, raznim vanparničnim postupcima, upravnom, pa čak i u disciplinskom postupku), pa vještačenje kao radnja ne predstavlja posebnost krivičnog postupka.</w:t>
      </w:r>
    </w:p>
    <w:p w:rsidR="006447B5" w:rsidRPr="006447B5" w:rsidRDefault="006447B5" w:rsidP="006447B5">
      <w:pPr>
        <w:rPr>
          <w:rFonts w:cs="Arial"/>
          <w:sz w:val="20"/>
          <w:szCs w:val="20"/>
        </w:rPr>
      </w:pPr>
      <w:r w:rsidRPr="006447B5">
        <w:rPr>
          <w:rFonts w:cs="Arial"/>
          <w:sz w:val="20"/>
          <w:szCs w:val="20"/>
        </w:rPr>
        <w:t>U sudskom postupku, sud utvrđuje postojanje samo onih činjenica koje su značajne za sudsku odluku, a to čini putem dokaznih sredstava kao procesnih radnji. Razvoj naučnih saznanja, kao i različitost odnosa u koje dolaze subjekti u pravnim odnosima, te s tim u vezi mogućnost nastanka međusobnih sporova, nametnuli su da vještačenje bude gotovo nezaobilazna procesna radnja, bez koje se ne može uspješno u meritumu okončati niti jedan krivični postupak.</w:t>
      </w:r>
    </w:p>
    <w:p w:rsidR="006447B5" w:rsidRPr="006447B5" w:rsidRDefault="006447B5" w:rsidP="006447B5">
      <w:pPr>
        <w:rPr>
          <w:rFonts w:cs="Arial"/>
          <w:sz w:val="20"/>
          <w:szCs w:val="20"/>
        </w:rPr>
      </w:pPr>
      <w:r w:rsidRPr="006447B5">
        <w:rPr>
          <w:rFonts w:cs="Arial"/>
          <w:sz w:val="20"/>
          <w:szCs w:val="20"/>
        </w:rPr>
        <w:t>Vještačenje se u pravilu provodi radi odgovora na tačno određeno činjenično pitanje, a nikada prilikom odlučivanja o primjeni pravne norme. Uvodno treba napomenuti, iako je važnost vještaka kao dokaznog sredstva neupitna, da vještak kao lice koje provodi vještačenje nije pomoćnik sudije u smislu suđenja. To iz razloga što je vještakovo mišljenje o pojedinoj činjenici kao samo jednoj od premisa za zaključivanje, podložno logičkoj kritici suda, ali i poređenju s drugim vrstama dokaza koji su provedeni u pojedinom postupku, kako pojedinačno tako i svih zajedno. Vještak bi trebalo da kao dijelove vještačenja da svoj nalaz i svoje mišljenje, poštujući pravni okvir, jer je vještačenje samo jedan dio u procesu suđenja.</w:t>
      </w:r>
    </w:p>
    <w:p w:rsidR="006447B5" w:rsidRPr="006447B5" w:rsidRDefault="006447B5" w:rsidP="006447B5">
      <w:pPr>
        <w:rPr>
          <w:rFonts w:cs="Arial"/>
          <w:sz w:val="20"/>
          <w:szCs w:val="20"/>
        </w:rPr>
      </w:pPr>
      <w:r w:rsidRPr="006447B5">
        <w:rPr>
          <w:rFonts w:cs="Arial"/>
          <w:sz w:val="20"/>
          <w:szCs w:val="20"/>
        </w:rPr>
        <w:t>U praksi je vrlo teško razdvojiti vještačenje i zaključke vještaka od suđenja. Za uspješnost konkretnog vještačenja podjednako su odgovorni i sudija i vještak. Sudija, ako nije dobro dao vještaku potrebna uputstva (zadatak – Naredbu) za vještačenje, a vještak, ako upute nije tražio ili nije po njima striktno postupio.</w:t>
      </w:r>
    </w:p>
    <w:p w:rsidR="006447B5" w:rsidRPr="006447B5" w:rsidRDefault="006447B5" w:rsidP="006447B5">
      <w:pPr>
        <w:rPr>
          <w:rFonts w:cs="Arial"/>
          <w:sz w:val="20"/>
          <w:szCs w:val="20"/>
        </w:rPr>
      </w:pPr>
      <w:r w:rsidRPr="006447B5">
        <w:rPr>
          <w:rFonts w:cs="Arial"/>
          <w:sz w:val="20"/>
          <w:szCs w:val="20"/>
        </w:rPr>
        <w:t>Rad tretira saobraćajno-tehničko vještačenje u krivičnom postupku, specifičnosti vještačenja i pokušava da razdvoji ulogu suda i vještaka, odgovori koja su to pravna pitanja na koja odgovor treba dati sudija, koja činjenična pitanja na koja treba dati odgovor vještak. Takođe, u radu se vrši analiza da li i na koji način sud treba rukovoditi vještačenjem ili je to zadatak stranaka, šta se smatra ispunjenim zadatkom vještaka, koji su obavezni sastavni dijelovi vještačenja, kada treba vještačenje vratiti na dopunu, a kada imenovati drugog vještaka.</w:t>
      </w:r>
    </w:p>
    <w:p w:rsidR="006447B5" w:rsidRPr="006447B5" w:rsidRDefault="006447B5" w:rsidP="006447B5">
      <w:pPr>
        <w:rPr>
          <w:rFonts w:cs="Arial"/>
          <w:sz w:val="20"/>
          <w:szCs w:val="20"/>
        </w:rPr>
      </w:pPr>
    </w:p>
    <w:p w:rsidR="006447B5" w:rsidRPr="00E678EF" w:rsidRDefault="006447B5" w:rsidP="006447B5">
      <w:pPr>
        <w:pStyle w:val="ListParagraph"/>
        <w:numPr>
          <w:ilvl w:val="0"/>
          <w:numId w:val="27"/>
        </w:numPr>
        <w:rPr>
          <w:rFonts w:cs="Arial"/>
          <w:b/>
          <w:sz w:val="20"/>
          <w:szCs w:val="20"/>
        </w:rPr>
      </w:pPr>
      <w:r w:rsidRPr="00E678EF">
        <w:rPr>
          <w:rFonts w:cs="Arial"/>
          <w:b/>
          <w:sz w:val="20"/>
          <w:szCs w:val="20"/>
        </w:rPr>
        <w:t>POJAM VJEŠTAKA I PRAVNI OKVIR VJEŠTAČENJA</w:t>
      </w:r>
    </w:p>
    <w:p w:rsidR="006447B5" w:rsidRPr="006447B5" w:rsidRDefault="006447B5" w:rsidP="006447B5">
      <w:pPr>
        <w:rPr>
          <w:rFonts w:cs="Arial"/>
          <w:sz w:val="20"/>
          <w:szCs w:val="20"/>
        </w:rPr>
      </w:pPr>
      <w:r w:rsidRPr="006447B5">
        <w:rPr>
          <w:rFonts w:cs="Arial"/>
          <w:sz w:val="20"/>
          <w:szCs w:val="20"/>
        </w:rPr>
        <w:t>Vještak je fizičko lice koje posjeduje stručna znanja, samostalno i nezavisno u obavljanju vještačenja, koje je u radu dužno da se pridržava zakona i drugih propisa, pravila struke i domaćih i međunarodnih važećih standarda, imenovano u odgovarajućem postupku i upisano u odgovarajući registar – imenik ili listu vještaka.</w:t>
      </w:r>
    </w:p>
    <w:p w:rsidR="006447B5" w:rsidRPr="006447B5" w:rsidRDefault="006447B5" w:rsidP="006447B5">
      <w:pPr>
        <w:rPr>
          <w:rFonts w:cs="Arial"/>
          <w:sz w:val="20"/>
          <w:szCs w:val="20"/>
        </w:rPr>
      </w:pPr>
      <w:r w:rsidRPr="006447B5">
        <w:rPr>
          <w:rFonts w:cs="Arial"/>
          <w:sz w:val="20"/>
          <w:szCs w:val="20"/>
        </w:rPr>
        <w:t>U BiH vještačenje propisuju tri procesna zakona te dva entitetska zakona o vještacima. Zakonom o vještacima se uređuju uslovi za obavljanje poslova vještačenja, postupak imenovanja i razrješenja vještaka, postupak upisa i brisanja pravnih subjekata, kao i prava i obaveze lica koja obavljaju vještačenje. Vještak obavlja poslove vještačenja samostalno ili u ime državnog organa, republičkog organa uprave kao institucije koje u okviru zakonom propisanih ovlaštenja vrše poslove vještačenja, te u ime javne i privatne ustanove i privrednog društva koji su registrovani za poslove vještačenja.</w:t>
      </w:r>
    </w:p>
    <w:p w:rsidR="006447B5" w:rsidRPr="006447B5" w:rsidRDefault="006447B5" w:rsidP="006447B5">
      <w:pPr>
        <w:rPr>
          <w:rFonts w:cs="Arial"/>
          <w:sz w:val="20"/>
          <w:szCs w:val="20"/>
        </w:rPr>
      </w:pPr>
      <w:r w:rsidRPr="006447B5">
        <w:rPr>
          <w:rFonts w:cs="Arial"/>
          <w:sz w:val="20"/>
          <w:szCs w:val="20"/>
        </w:rPr>
        <w:t xml:space="preserve">Procesni zakoni takođe ne daju jasnu definiciju vještaka, pa je data definicija izvedena iz ukupnih zakonskih odredbi. Neobično je da u definisanju pojma "VJEŠTAK" nema dijela koji se odnosi na vještinu koju mora posjedovati vještak. Naime, ukoliko bi "... fizičko lice, koje posjeduje stručna znanja ..." bilo vještak, to bi u suštini bilo stručno lice, jer vještak mora posjedovati vještinu kao osnovu za rad. Primjera radi, koju struku treba da posjeduje vještak grafolog, imajući u vidu da ne postoji škola za </w:t>
      </w:r>
      <w:r w:rsidRPr="006447B5">
        <w:rPr>
          <w:rFonts w:cs="Arial"/>
          <w:sz w:val="20"/>
          <w:szCs w:val="20"/>
        </w:rPr>
        <w:lastRenderedPageBreak/>
        <w:t>školovanje grafologa? Posebno naglašavamo da vještak mora biti lice koje raspolaže vještinom, jer i najstručnije osobe (doktori nauka) mogu biti osobe koje uopšte ne posjeduju vještinu, tako da npr. doktor nauka iz oblasti vozila dvotočkaša može biti lice koje ne umije da vozi ni bicikl, ni motocikl. Dalje je jasno da doktor nauka iz oblasti motornih vozila ne mora imati vozačku dozvolu niti mora znati da upravlja vozilima.</w:t>
      </w:r>
    </w:p>
    <w:p w:rsidR="006447B5" w:rsidRPr="006447B5" w:rsidRDefault="006447B5" w:rsidP="006447B5">
      <w:pPr>
        <w:rPr>
          <w:rFonts w:cs="Arial"/>
          <w:sz w:val="20"/>
          <w:szCs w:val="20"/>
        </w:rPr>
      </w:pPr>
      <w:r w:rsidRPr="006447B5">
        <w:rPr>
          <w:rFonts w:cs="Arial"/>
          <w:sz w:val="20"/>
          <w:szCs w:val="20"/>
        </w:rPr>
        <w:t>Vještačenje osim vještaka vrše i pravni subjekti koji ispunjavaju uslove propisane zakonom, državni organi, republički organi uprave koji u okviru zakonom propisanih ovlaštenja vrše poslove vještačenja, te javne i privatne ustanove i privredna društva registrovana za poslove vještačenja.</w:t>
      </w:r>
    </w:p>
    <w:p w:rsidR="006447B5" w:rsidRPr="006447B5" w:rsidRDefault="006447B5" w:rsidP="006447B5">
      <w:pPr>
        <w:rPr>
          <w:rFonts w:cs="Arial"/>
          <w:sz w:val="20"/>
          <w:szCs w:val="20"/>
        </w:rPr>
      </w:pPr>
      <w:r w:rsidRPr="006447B5">
        <w:rPr>
          <w:rFonts w:cs="Arial"/>
          <w:sz w:val="20"/>
          <w:szCs w:val="20"/>
        </w:rPr>
        <w:t>Odredbe o provođenju vještačenja nalaze se u glavi 7. ZKP-a na sva tri nivoa, bez značajnijih razlika. Dakle, s obzirom na zadani zakonski okvir, vještaci predstavljaju samo jedno od dokaznih sredstava krivičnog postupka.</w:t>
      </w:r>
    </w:p>
    <w:p w:rsidR="006447B5" w:rsidRPr="006447B5" w:rsidRDefault="006447B5" w:rsidP="006447B5">
      <w:pPr>
        <w:rPr>
          <w:rFonts w:cs="Arial"/>
          <w:sz w:val="20"/>
          <w:szCs w:val="20"/>
        </w:rPr>
      </w:pPr>
      <w:r w:rsidRPr="006447B5">
        <w:rPr>
          <w:rFonts w:cs="Arial"/>
          <w:sz w:val="20"/>
          <w:szCs w:val="20"/>
        </w:rPr>
        <w:t>Dokazivanje je procesna aktivnost u kojoj krivične stranke poduzimaju krivične radnje u ispitivanju dokaznih sredstava radi utvrđivanja istinitosti njihovih tvrdnji i pretpostavki o činjenicima koje su bitne za primjenu prava. Dokazivanje obuhvata sve činjenice koje su važne za donošenje odluke. Koje će od predloženih dokaza izvesti radi utvrđivanja odlučnih činjenica, odlučuje (rješava) sud.</w:t>
      </w:r>
    </w:p>
    <w:p w:rsidR="006447B5" w:rsidRPr="006447B5" w:rsidRDefault="006447B5" w:rsidP="006447B5">
      <w:pPr>
        <w:rPr>
          <w:rFonts w:cs="Arial"/>
          <w:sz w:val="20"/>
          <w:szCs w:val="20"/>
        </w:rPr>
      </w:pPr>
      <w:r w:rsidRPr="006447B5">
        <w:rPr>
          <w:rFonts w:cs="Arial"/>
          <w:sz w:val="20"/>
          <w:szCs w:val="20"/>
        </w:rPr>
        <w:t xml:space="preserve">Vještaci su dokazno sredstvo, dok je vještačenje funkcija (djelovanje, djelatnost, zadatak, obaveza, dužnost, posao, rad) vještaka. </w:t>
      </w:r>
      <w:r w:rsidR="00681EF5">
        <w:rPr>
          <w:rFonts w:cs="Arial"/>
          <w:sz w:val="20"/>
          <w:szCs w:val="20"/>
        </w:rPr>
        <w:t>S o</w:t>
      </w:r>
      <w:r w:rsidRPr="006447B5">
        <w:rPr>
          <w:rFonts w:cs="Arial"/>
          <w:sz w:val="20"/>
          <w:szCs w:val="20"/>
        </w:rPr>
        <w:t>bzirom na raširenost, vještaci kao dokazno sredstvo dolaze u praksi odmah nakon dokaznog sredstva svjedocima, s time da rezultati vještačenja u dokaznom pogledu imaju apsolutnu prednost u odnosu na iskaz svjedoka, gotovo se može reći da imaju snagu izvjesnosti i objektivne istine.</w:t>
      </w:r>
    </w:p>
    <w:p w:rsidR="006447B5" w:rsidRPr="006447B5" w:rsidRDefault="006447B5" w:rsidP="006447B5">
      <w:pPr>
        <w:rPr>
          <w:rFonts w:cs="Arial"/>
          <w:sz w:val="20"/>
          <w:szCs w:val="20"/>
        </w:rPr>
      </w:pPr>
      <w:r w:rsidRPr="006447B5">
        <w:rPr>
          <w:rFonts w:cs="Arial"/>
          <w:sz w:val="20"/>
          <w:szCs w:val="20"/>
        </w:rPr>
        <w:t>Treba istaći da postojeći propisi regulišu pravnu stranu vještačenja, dok se vještačenje obavlja u skladu pravilima struke, odnosno vještine, dakle "lege artis". Stoga je potrebno posebnu pažnju obratiti na užu specijalnost vještaka.</w:t>
      </w:r>
    </w:p>
    <w:p w:rsidR="006447B5" w:rsidRPr="006447B5" w:rsidRDefault="006447B5" w:rsidP="006447B5">
      <w:pPr>
        <w:rPr>
          <w:rFonts w:cs="Arial"/>
          <w:sz w:val="20"/>
          <w:szCs w:val="20"/>
        </w:rPr>
      </w:pPr>
      <w:r w:rsidRPr="006447B5">
        <w:rPr>
          <w:rFonts w:cs="Arial"/>
          <w:sz w:val="20"/>
          <w:szCs w:val="20"/>
        </w:rPr>
        <w:t>Među vještacima saobraćajne struke, koji su tema ovog rada, postoje različite specijalizacije, pa objektivno nije isto ako vještačenje saobraćajne nezgode u drumskom saobraćaju vrši vještak specijalizovan za željeznički ili poštanski saobraćaj. Shodno prethodnom, sud bi treba</w:t>
      </w:r>
      <w:r w:rsidR="004F6C1C">
        <w:rPr>
          <w:rFonts w:cs="Arial"/>
          <w:sz w:val="20"/>
          <w:szCs w:val="20"/>
        </w:rPr>
        <w:t>l</w:t>
      </w:r>
      <w:r w:rsidRPr="006447B5">
        <w:rPr>
          <w:rFonts w:cs="Arial"/>
          <w:sz w:val="20"/>
          <w:szCs w:val="20"/>
        </w:rPr>
        <w:t>o</w:t>
      </w:r>
      <w:r w:rsidR="004F6C1C">
        <w:rPr>
          <w:rFonts w:cs="Arial"/>
          <w:sz w:val="20"/>
          <w:szCs w:val="20"/>
        </w:rPr>
        <w:t xml:space="preserve"> da</w:t>
      </w:r>
      <w:r w:rsidRPr="006447B5">
        <w:rPr>
          <w:rFonts w:cs="Arial"/>
          <w:sz w:val="20"/>
          <w:szCs w:val="20"/>
        </w:rPr>
        <w:t xml:space="preserve"> vještačenje povjeri vještaku specijalizovanom za vještačenje saobraćajnih nezgoda u drumskom saobraćaju, koji posjeduje odgovarajuća specijalistička znanja, računarske programe i iskustvo i vještine.</w:t>
      </w:r>
    </w:p>
    <w:p w:rsidR="006447B5" w:rsidRPr="00C7749C" w:rsidRDefault="006447B5" w:rsidP="006447B5">
      <w:pPr>
        <w:pStyle w:val="ListParagraph"/>
        <w:numPr>
          <w:ilvl w:val="0"/>
          <w:numId w:val="27"/>
        </w:numPr>
        <w:rPr>
          <w:rFonts w:cs="Arial"/>
          <w:b/>
          <w:sz w:val="20"/>
          <w:szCs w:val="20"/>
        </w:rPr>
      </w:pPr>
      <w:r w:rsidRPr="00C7749C">
        <w:rPr>
          <w:rFonts w:cs="Arial"/>
          <w:b/>
          <w:sz w:val="20"/>
          <w:szCs w:val="20"/>
        </w:rPr>
        <w:t>NAČIN ODREĐIVANJA DOKAZA VJEŠTAČENJEM</w:t>
      </w:r>
    </w:p>
    <w:p w:rsidR="00C7749C" w:rsidRDefault="006447B5" w:rsidP="006447B5">
      <w:pPr>
        <w:rPr>
          <w:rFonts w:cs="Arial"/>
          <w:sz w:val="20"/>
          <w:szCs w:val="20"/>
        </w:rPr>
      </w:pPr>
      <w:r w:rsidRPr="006447B5">
        <w:rPr>
          <w:rFonts w:cs="Arial"/>
          <w:sz w:val="20"/>
          <w:szCs w:val="20"/>
        </w:rPr>
        <w:t xml:space="preserve">Vještačenje se određuje naredbom suda ili tužilaštva. Dakle, u pogledu određivanja vještačenja od strane tužilaštva i suda nema posebnih dilema u primjeni ovog dokaznog sredstva. Dilema se stvara da li odbrana i na koji način može angažovati vještaka. Imajući u vidu pravo na pravično suđenje i jednakost oružja koje proizilazi iz same Evropske konvencije o ljudskim pravima, jasno je da se odbrani mora pod jednakim uslovima odobriti korištenje ovog dokaznog sredstva. </w:t>
      </w:r>
    </w:p>
    <w:p w:rsidR="00D17F81" w:rsidRPr="00585906" w:rsidRDefault="006447B5" w:rsidP="006447B5">
      <w:pPr>
        <w:rPr>
          <w:rFonts w:cs="Arial"/>
          <w:sz w:val="20"/>
          <w:szCs w:val="20"/>
        </w:rPr>
      </w:pPr>
      <w:r w:rsidRPr="006447B5">
        <w:rPr>
          <w:rFonts w:cs="Arial"/>
          <w:sz w:val="20"/>
          <w:szCs w:val="20"/>
        </w:rPr>
        <w:t>Poštujući zakonske odredbe da samo sud i tužilac mogu donijeti naredbu o vještačenju, pravilno bi bilo da sud na prethodni prijedlog odbrane donese naredbu o određivanju vještaka</w:t>
      </w:r>
      <w:r w:rsidR="0058409C">
        <w:rPr>
          <w:rFonts w:cs="Arial"/>
          <w:sz w:val="20"/>
          <w:szCs w:val="20"/>
        </w:rPr>
        <w:t>, te da</w:t>
      </w:r>
      <w:r w:rsidR="002D3F40">
        <w:rPr>
          <w:rFonts w:cs="Arial"/>
          <w:sz w:val="20"/>
          <w:szCs w:val="20"/>
        </w:rPr>
        <w:t xml:space="preserve"> </w:t>
      </w:r>
      <w:r w:rsidR="0058409C">
        <w:rPr>
          <w:rFonts w:cs="Arial"/>
          <w:sz w:val="20"/>
          <w:szCs w:val="20"/>
        </w:rPr>
        <w:t>se kompletan spis</w:t>
      </w:r>
      <w:r w:rsidR="002D3F40">
        <w:rPr>
          <w:rFonts w:cs="Arial"/>
          <w:sz w:val="20"/>
          <w:szCs w:val="20"/>
        </w:rPr>
        <w:t xml:space="preserve"> usutpi vještaku odbrane radi sačinjavanja nalaza i miššljenja.</w:t>
      </w:r>
      <w:r w:rsidRPr="006447B5">
        <w:rPr>
          <w:rFonts w:cs="Arial"/>
          <w:sz w:val="20"/>
          <w:szCs w:val="20"/>
        </w:rPr>
        <w:t>.</w:t>
      </w:r>
    </w:p>
    <w:p w:rsidR="006447B5" w:rsidRPr="00C7749C" w:rsidRDefault="006447B5" w:rsidP="006447B5">
      <w:pPr>
        <w:pStyle w:val="ListParagraph"/>
        <w:numPr>
          <w:ilvl w:val="0"/>
          <w:numId w:val="27"/>
        </w:numPr>
        <w:rPr>
          <w:rFonts w:cs="Arial"/>
          <w:b/>
          <w:sz w:val="20"/>
          <w:szCs w:val="20"/>
        </w:rPr>
      </w:pPr>
      <w:r w:rsidRPr="00C7749C">
        <w:rPr>
          <w:rFonts w:cs="Arial"/>
          <w:b/>
          <w:sz w:val="20"/>
          <w:szCs w:val="20"/>
        </w:rPr>
        <w:t>IZVOĐENJE DOKAZA VJEŠTAČENJEM</w:t>
      </w:r>
    </w:p>
    <w:p w:rsidR="006447B5" w:rsidRPr="006447B5" w:rsidRDefault="006447B5" w:rsidP="006447B5">
      <w:pPr>
        <w:rPr>
          <w:rFonts w:cs="Arial"/>
          <w:sz w:val="20"/>
          <w:szCs w:val="20"/>
        </w:rPr>
      </w:pPr>
      <w:r w:rsidRPr="006447B5">
        <w:rPr>
          <w:rFonts w:cs="Arial"/>
          <w:sz w:val="20"/>
          <w:szCs w:val="20"/>
        </w:rPr>
        <w:t>Vještačenje po vještaku saobraćajne struke se određuje radi razjašnjenja činjeničnih i tehničkih pitanja bitnih za donošenje odluke o krivici za nastanak nezgode. Ovo ne znači da će se vještak izjašnjavati o krivici, niti da će vještak utvrđivati kršenje propisa ili određivanje doprinosa za nastanak nezgode. Vještačenje se određuje kada sud ne posjeduje stručno znanje iz oblasti nauke, fizike, dinamike, tehnike i sl, a koje je neophodno radi utvrđenja ili razjašnjenja određenih činjenica bitnih za odlučivanje.</w:t>
      </w:r>
    </w:p>
    <w:p w:rsidR="006447B5" w:rsidRPr="006447B5" w:rsidRDefault="006447B5" w:rsidP="006447B5">
      <w:pPr>
        <w:rPr>
          <w:rFonts w:cs="Arial"/>
          <w:sz w:val="20"/>
          <w:szCs w:val="20"/>
        </w:rPr>
      </w:pPr>
      <w:r w:rsidRPr="006447B5">
        <w:rPr>
          <w:rFonts w:cs="Arial"/>
          <w:sz w:val="20"/>
          <w:szCs w:val="20"/>
        </w:rPr>
        <w:t xml:space="preserve">Vještak, dakle, pomaže sudu pri utvrđivanju ili razjašnjenju određenih činjenica koje su važne za utvrđivanje istinitosti navoda koji su predmet dokazivanja tako što, na osnovu svog stručnog znanja, a posebno i na osnovu vještine, zapaža činjenice koje postoje u času suđenja i koje bi i sam sud mogao opažati kada bi raspolagao potrebnim znanjem, iznosi sudu ta zapažanja (nalaz), te daje zaključak o njihovom značaju, djelovanju i posljedicama. Vještak daje svoje mišljenje, ali to mišljenje sud mora </w:t>
      </w:r>
      <w:r w:rsidRPr="006447B5">
        <w:rPr>
          <w:rFonts w:cs="Arial"/>
          <w:sz w:val="20"/>
          <w:szCs w:val="20"/>
        </w:rPr>
        <w:lastRenderedPageBreak/>
        <w:t>dovesti u vezu sa drugim dokazima i podvr</w:t>
      </w:r>
      <w:r w:rsidR="00676A03">
        <w:rPr>
          <w:rFonts w:cs="Arial"/>
          <w:sz w:val="20"/>
          <w:szCs w:val="20"/>
        </w:rPr>
        <w:t>gnut</w:t>
      </w:r>
      <w:r w:rsidRPr="006447B5">
        <w:rPr>
          <w:rFonts w:cs="Arial"/>
          <w:sz w:val="20"/>
          <w:szCs w:val="20"/>
        </w:rPr>
        <w:t>i logičkoj kritici.</w:t>
      </w:r>
    </w:p>
    <w:p w:rsidR="006447B5" w:rsidRPr="006447B5" w:rsidRDefault="006447B5" w:rsidP="006447B5">
      <w:pPr>
        <w:rPr>
          <w:rFonts w:cs="Arial"/>
          <w:sz w:val="20"/>
          <w:szCs w:val="20"/>
        </w:rPr>
      </w:pPr>
      <w:r w:rsidRPr="006447B5">
        <w:rPr>
          <w:rFonts w:cs="Arial"/>
          <w:sz w:val="20"/>
          <w:szCs w:val="20"/>
        </w:rPr>
        <w:t>Izvedene dokaze sud prosuđuje po slobodnom uvjerenju, ali je dužan stečeno uvjerenje opravdati uvjerljivim i logičkim razlozima, da bi se moglo provjeriti ima li takvo uvjerenje pravnu i činjeničnu osnovu.</w:t>
      </w:r>
    </w:p>
    <w:p w:rsidR="006447B5" w:rsidRPr="00C7749C" w:rsidRDefault="006447B5" w:rsidP="006447B5">
      <w:pPr>
        <w:pStyle w:val="ListParagraph"/>
        <w:numPr>
          <w:ilvl w:val="0"/>
          <w:numId w:val="27"/>
        </w:numPr>
        <w:rPr>
          <w:rFonts w:cs="Arial"/>
          <w:b/>
          <w:sz w:val="20"/>
          <w:szCs w:val="20"/>
        </w:rPr>
      </w:pPr>
      <w:r w:rsidRPr="00C7749C">
        <w:rPr>
          <w:rFonts w:cs="Arial"/>
          <w:b/>
          <w:sz w:val="20"/>
          <w:szCs w:val="20"/>
        </w:rPr>
        <w:t>PREDMET VJEŠTAČENJA</w:t>
      </w:r>
    </w:p>
    <w:p w:rsidR="006447B5" w:rsidRPr="006447B5" w:rsidRDefault="006447B5" w:rsidP="006447B5">
      <w:pPr>
        <w:rPr>
          <w:rFonts w:cs="Arial"/>
          <w:sz w:val="20"/>
          <w:szCs w:val="20"/>
        </w:rPr>
      </w:pPr>
      <w:r w:rsidRPr="006447B5">
        <w:rPr>
          <w:rFonts w:cs="Arial"/>
          <w:sz w:val="20"/>
          <w:szCs w:val="20"/>
        </w:rPr>
        <w:t>Od posebnog je značaja određivanje predmeta i obima vještačenja. U praksi se vještaci vrlo često pozivaju samo da izvrše vještačenje, bez posebnog određenja predmeta i obima. Neprecizno određivanje predmeta i obima vještačenja ili njihov potpuni izostanak često rezultiraju potrebom brojnih dopuna nalaza i mišljenja, a time i nepotrebnim produženjem trajanja postupka. Ovo se smatra propustom suda, jer zakon izričito propisuje ovu obavezu suda.</w:t>
      </w:r>
    </w:p>
    <w:p w:rsidR="006447B5" w:rsidRPr="006447B5" w:rsidRDefault="006447B5" w:rsidP="006447B5">
      <w:pPr>
        <w:rPr>
          <w:rFonts w:cs="Arial"/>
          <w:sz w:val="20"/>
          <w:szCs w:val="20"/>
        </w:rPr>
      </w:pPr>
      <w:r w:rsidRPr="006447B5">
        <w:rPr>
          <w:rFonts w:cs="Arial"/>
          <w:sz w:val="20"/>
          <w:szCs w:val="20"/>
        </w:rPr>
        <w:t>Saobraćajno-tehnička vještačenja se određuju radi razjašnjenja neke pravno relevantne sporne činjenice, a provode se kada je za tu aktivnost potrebno stručno znanje iz domena saobraćaja, tehnike i vještina. Vještak mora biti u mogućnosti da stvori sveobuhvatnu sliku o predmetu spora kako bi mogao sudu pomoći da utvrdi, odnosno razjasni određene činjenice. Zbog toga se vještaku dozvoljava razmatranje spisa predmeta. Vještaku se u praksi uvijek daje spis na razmatranje, jer samo rješenje o vještačenju obično ne sadrži dovoljno podataka o predmetu spora. Međutim, uvid u spis je od naročitog značaja kada se nalaz i mišljenje ne mogu dati na osnovu pregleda stvari odnosno lica mjesta, jer stvari i tragovi više ne postoje, već na osnovu dokaza, iskaza svjedoka ili stranaka, koji se nalaze u spisu. Iz istog razloga predviđa se i ovlaštenje vještaka da strankama postavlja pitanja, a time i dužnost stranaka da vještaku daju potrebna razjašnjenja. Ako je u predmetu određeno vještačenje iz različitih oblasti od strane dva ili više vještaka, oni mogu jedan od drugog tražiti razjašnjenja neophodna za izradu njihovog nalaza i mišljenja.</w:t>
      </w:r>
    </w:p>
    <w:p w:rsidR="006447B5" w:rsidRPr="00C7749C" w:rsidRDefault="006447B5" w:rsidP="006447B5">
      <w:pPr>
        <w:pStyle w:val="ListParagraph"/>
        <w:numPr>
          <w:ilvl w:val="0"/>
          <w:numId w:val="27"/>
        </w:numPr>
        <w:rPr>
          <w:rFonts w:cs="Arial"/>
          <w:b/>
          <w:sz w:val="20"/>
          <w:szCs w:val="20"/>
        </w:rPr>
      </w:pPr>
      <w:r w:rsidRPr="00C7749C">
        <w:rPr>
          <w:rFonts w:cs="Arial"/>
          <w:b/>
          <w:sz w:val="20"/>
          <w:szCs w:val="20"/>
        </w:rPr>
        <w:t>DOMEN RADA VJEŠTAKA</w:t>
      </w:r>
    </w:p>
    <w:p w:rsidR="006447B5" w:rsidRPr="006447B5" w:rsidRDefault="006447B5" w:rsidP="006447B5">
      <w:pPr>
        <w:rPr>
          <w:rFonts w:cs="Arial"/>
          <w:sz w:val="20"/>
          <w:szCs w:val="20"/>
        </w:rPr>
      </w:pPr>
      <w:r w:rsidRPr="006447B5">
        <w:rPr>
          <w:rFonts w:cs="Arial"/>
          <w:sz w:val="20"/>
          <w:szCs w:val="20"/>
        </w:rPr>
        <w:t>Na osnovu Rješenja suda kojim se određuje predmet vještačenja, vještak će u skladu sa pravilima struke sačiniti nalaz i mišljenje. Bez obzira na navedeni obim i predmet vještačenja naveden u rješenju, vještačenje sadrži minimalno analizu podataka o:</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učesnicima nezgode;</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putu, saobraćajnoj signalizaciji i vremenu;</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povredama učesnika</w:t>
      </w:r>
      <w:r w:rsidR="00C7749C">
        <w:rPr>
          <w:rFonts w:cs="Arial"/>
          <w:sz w:val="20"/>
          <w:szCs w:val="20"/>
        </w:rPr>
        <w:t xml:space="preserve"> (na osnovu mišljenja ljekara)</w:t>
      </w:r>
      <w:r w:rsidRPr="002F0980">
        <w:rPr>
          <w:rFonts w:cs="Arial"/>
          <w:sz w:val="20"/>
          <w:szCs w:val="20"/>
        </w:rPr>
        <w:t>;</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vozilima i oštećenjima vozila;</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tragovima saobraćajne nezgode;</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brzini i dinamici kretanja vozila;</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vremensko-prostornoj analizi (neposredno prije, kao i u trenutku nastanka nezgode) mogućnosti izbjegavanja nezgode;</w:t>
      </w:r>
    </w:p>
    <w:p w:rsidR="006447B5" w:rsidRPr="002F0980" w:rsidRDefault="006447B5" w:rsidP="002F0980">
      <w:pPr>
        <w:pStyle w:val="ListParagraph"/>
        <w:numPr>
          <w:ilvl w:val="0"/>
          <w:numId w:val="28"/>
        </w:numPr>
        <w:rPr>
          <w:rFonts w:cs="Arial"/>
          <w:sz w:val="20"/>
          <w:szCs w:val="20"/>
        </w:rPr>
      </w:pPr>
      <w:r w:rsidRPr="002F0980">
        <w:rPr>
          <w:rFonts w:cs="Arial"/>
          <w:sz w:val="20"/>
          <w:szCs w:val="20"/>
        </w:rPr>
        <w:t>kompatibilnosti oštećenja i sudarnog procesa.</w:t>
      </w:r>
    </w:p>
    <w:p w:rsidR="006447B5" w:rsidRPr="006447B5" w:rsidRDefault="006447B5" w:rsidP="006447B5">
      <w:pPr>
        <w:rPr>
          <w:rFonts w:cs="Arial"/>
          <w:sz w:val="20"/>
          <w:szCs w:val="20"/>
        </w:rPr>
      </w:pPr>
      <w:r w:rsidRPr="006447B5">
        <w:rPr>
          <w:rFonts w:cs="Arial"/>
          <w:sz w:val="20"/>
          <w:szCs w:val="20"/>
        </w:rPr>
        <w:t>Na osnovu naprijed navedenih analiza podataka vještak će sačiniti nalaz i iznijeti svoje mišljenje o toku nastanka nezgode. Mišljenje koje vještak iznosi treba biti oslobođeno komentarisanja pravnih propisa, ali to ne znači da ih vještak neće primjenjivati. Vještak neće na neposredan način tumačiti pravne norme, ali u svom radu je neophodno da ima visok stepen poznavanja istih i da ih pravilno primjenjuje.</w:t>
      </w:r>
    </w:p>
    <w:p w:rsidR="006447B5" w:rsidRPr="006447B5" w:rsidRDefault="006447B5" w:rsidP="006447B5">
      <w:pPr>
        <w:rPr>
          <w:rFonts w:cs="Arial"/>
          <w:sz w:val="20"/>
          <w:szCs w:val="20"/>
        </w:rPr>
      </w:pPr>
      <w:r w:rsidRPr="006447B5">
        <w:rPr>
          <w:rFonts w:cs="Arial"/>
          <w:sz w:val="20"/>
          <w:szCs w:val="20"/>
        </w:rPr>
        <w:t>Vještak neće kvalifikovati neko ponašanje kao propust ili oduzimanje prvenstva prolaza u raskrsnici, već će sudu dati potrebne činjenice na osnovu kojih će sud odlučiti da li se radi o pravu prvenstva ili ne. Dakle, vještak će reći kakva je podloga puta (asfalt, makadam, zemljani put), kakvo je stanje saobraćajne signalizacije, da li su saobraćajni znakovi postavljeni i uočljivi u skladu sa tehničkim propisima o postavljenju istih, kakva je vidljivost i preglednost bila u trenutku nastanka nezgode, kojim se putem kretalo koje od vozila, kojom brzinom, da li se zaustavilo ili ne, gdje se nalazilo koje od vozila u trenutku kada je postojala mogućnost međusobnog uočavanja, gdje su se nalazila vozila u trenutku kada je svako od njih ulazilo u raskrsnicu i da li su imali mogućnost izbjegavanja. Ukoliko vještak stekne utisak da je neko od učesnika prekršio određeni propis svojim ponašanjem, on će u nalazu izvršiti analizu poredeći konkretno ponašanje sa pravilnim i dopuštenim</w:t>
      </w:r>
      <w:r w:rsidR="00147D1E">
        <w:rPr>
          <w:rFonts w:cs="Arial"/>
          <w:sz w:val="20"/>
          <w:szCs w:val="20"/>
        </w:rPr>
        <w:t xml:space="preserve"> ponašanjem u datoj situaciji</w:t>
      </w:r>
      <w:r w:rsidRPr="006447B5">
        <w:rPr>
          <w:rFonts w:cs="Arial"/>
          <w:sz w:val="20"/>
          <w:szCs w:val="20"/>
        </w:rPr>
        <w:t>.</w:t>
      </w:r>
    </w:p>
    <w:p w:rsidR="006447B5" w:rsidRPr="006447B5" w:rsidRDefault="006447B5" w:rsidP="006447B5">
      <w:pPr>
        <w:rPr>
          <w:rFonts w:cs="Arial"/>
          <w:sz w:val="20"/>
          <w:szCs w:val="20"/>
        </w:rPr>
      </w:pPr>
      <w:r w:rsidRPr="006447B5">
        <w:rPr>
          <w:rFonts w:cs="Arial"/>
          <w:sz w:val="20"/>
          <w:szCs w:val="20"/>
        </w:rPr>
        <w:lastRenderedPageBreak/>
        <w:t>Vještak saobraćajne struke pored vještine, poznavanja naučnih principa i dostignuća iz oblasti fizike, matematike i drugih prirodnih nauka, mora imati izražena stručna znanja iz oblasti regulisanja saobraćaja, projektovanja saobraćajnica, izrade i karakteristika vozila, postavljanja i važenja saobraćajne signalizacije i sl.</w:t>
      </w:r>
    </w:p>
    <w:p w:rsidR="006447B5" w:rsidRPr="006447B5" w:rsidRDefault="006447B5" w:rsidP="006447B5">
      <w:pPr>
        <w:rPr>
          <w:rFonts w:cs="Arial"/>
          <w:sz w:val="20"/>
          <w:szCs w:val="20"/>
        </w:rPr>
      </w:pPr>
      <w:r w:rsidRPr="006447B5">
        <w:rPr>
          <w:rFonts w:cs="Arial"/>
          <w:sz w:val="20"/>
          <w:szCs w:val="20"/>
        </w:rPr>
        <w:t>Iz prethodnog vidimo da npr. na pitanje važenja određenog saobraćajnog znaka zajednički daju odgovor i sud i vještak, pri čemu je zadatak vještaka da utvrdi da li je postavljeni saobraćajni znak izrađen i postavljen u skladu sa tehničkim standardima koje propisuje Pravilnik o saobraćajnoj signalizaciji (materijal, boja, refleksija, oblik, visina, vidljivost i sl), a zadatak suda je da tehničke činjenice koje je utvrdio vještak podvede pod važenje i značenje konkretne pravne norme. Ovaj odnos se može posmatrati i kao odnos forme i sadržine. Vještak je taj koji sudu daje znanje o tehničkim detaljima sadržine određene činjenice, a sud je taj koji tu suštinu formalizuje i uobličava u skladu sa postojećim saobraćajnim propisima.</w:t>
      </w:r>
    </w:p>
    <w:p w:rsidR="006447B5" w:rsidRPr="006447B5" w:rsidRDefault="006447B5" w:rsidP="006447B5">
      <w:pPr>
        <w:rPr>
          <w:rFonts w:cs="Arial"/>
          <w:sz w:val="20"/>
          <w:szCs w:val="20"/>
        </w:rPr>
      </w:pPr>
      <w:r w:rsidRPr="006447B5">
        <w:rPr>
          <w:rFonts w:cs="Arial"/>
          <w:sz w:val="20"/>
          <w:szCs w:val="20"/>
        </w:rPr>
        <w:t>Analiza saobraćajne nezgode je analiza okolnosti i uslova pod kojima se nezgoda dogodila, i pod kojim okolnostima bi mogla biti izbjegnuta i to je osnovni zadatak vještaka. Ova analiza nužno u sebi sadrži i odgovore na neka pravna pitanja, a naročito pitanja koja se odnose na primjenu tehničkih standarda puta, signalizacije, vozila i sl.</w:t>
      </w:r>
    </w:p>
    <w:p w:rsidR="006447B5" w:rsidRPr="006447B5" w:rsidRDefault="006447B5" w:rsidP="006447B5">
      <w:pPr>
        <w:rPr>
          <w:rFonts w:cs="Arial"/>
          <w:sz w:val="20"/>
          <w:szCs w:val="20"/>
        </w:rPr>
      </w:pPr>
      <w:r w:rsidRPr="006447B5">
        <w:rPr>
          <w:rFonts w:cs="Arial"/>
          <w:sz w:val="20"/>
          <w:szCs w:val="20"/>
        </w:rPr>
        <w:t>Zadatak suda bi bio da na osnovu takve analize vještaka utvrdi koje su to pravno relevantne činjenice. Sud bi na osnovu tih činjenica i drugih dokaza trebalo zaključiti o uzroku nastanka nezgode i posljedicama, odnosno o okolnostima i doprinosima učesnika za nastanak nezgode.</w:t>
      </w:r>
    </w:p>
    <w:p w:rsidR="006447B5" w:rsidRPr="00A727C9" w:rsidRDefault="006447B5" w:rsidP="002F0980">
      <w:pPr>
        <w:pStyle w:val="ListParagraph"/>
        <w:numPr>
          <w:ilvl w:val="0"/>
          <w:numId w:val="27"/>
        </w:numPr>
        <w:rPr>
          <w:rFonts w:cs="Arial"/>
          <w:b/>
          <w:sz w:val="20"/>
          <w:szCs w:val="20"/>
        </w:rPr>
      </w:pPr>
      <w:r w:rsidRPr="00A727C9">
        <w:rPr>
          <w:rFonts w:cs="Arial"/>
          <w:b/>
          <w:sz w:val="20"/>
          <w:szCs w:val="20"/>
        </w:rPr>
        <w:t>ZADATAK VJEŠTAKU</w:t>
      </w:r>
    </w:p>
    <w:p w:rsidR="006447B5" w:rsidRPr="006447B5" w:rsidRDefault="006447B5" w:rsidP="006447B5">
      <w:pPr>
        <w:rPr>
          <w:rFonts w:cs="Arial"/>
          <w:sz w:val="20"/>
          <w:szCs w:val="20"/>
        </w:rPr>
      </w:pPr>
      <w:r w:rsidRPr="006447B5">
        <w:rPr>
          <w:rFonts w:cs="Arial"/>
          <w:sz w:val="20"/>
          <w:szCs w:val="20"/>
        </w:rPr>
        <w:t>Na osnovu prethodnog izlaganja minimalan zadatak vještaku saobraćajne struke u rješenju suda bi treba</w:t>
      </w:r>
      <w:r w:rsidR="00EB2308">
        <w:rPr>
          <w:rFonts w:cs="Arial"/>
          <w:sz w:val="20"/>
          <w:szCs w:val="20"/>
        </w:rPr>
        <w:t>l</w:t>
      </w:r>
      <w:r w:rsidRPr="006447B5">
        <w:rPr>
          <w:rFonts w:cs="Arial"/>
          <w:sz w:val="20"/>
          <w:szCs w:val="20"/>
        </w:rPr>
        <w:t>o da glasi:</w:t>
      </w:r>
    </w:p>
    <w:p w:rsidR="006447B5" w:rsidRPr="00A727C9" w:rsidRDefault="006447B5" w:rsidP="006447B5">
      <w:pPr>
        <w:rPr>
          <w:rFonts w:cs="Arial"/>
          <w:b/>
          <w:i/>
          <w:sz w:val="20"/>
          <w:szCs w:val="20"/>
        </w:rPr>
      </w:pPr>
      <w:r w:rsidRPr="00A727C9">
        <w:rPr>
          <w:rFonts w:cs="Arial"/>
          <w:b/>
          <w:i/>
          <w:sz w:val="20"/>
          <w:szCs w:val="20"/>
        </w:rPr>
        <w:t>"Određuje se zadatak vještaku da na osnovu raspoložive dokumentacije u spisu i eventualnog izlaska na mjesto nezgode, izvrši analizu i da se izjasni o učesnicima nezgode; putu, saobraćajnoj signalizaciji</w:t>
      </w:r>
      <w:r w:rsidR="0029486C">
        <w:rPr>
          <w:rFonts w:cs="Arial"/>
          <w:b/>
          <w:i/>
          <w:sz w:val="20"/>
          <w:szCs w:val="20"/>
        </w:rPr>
        <w:t xml:space="preserve">, preglednosti i vidljivosti, </w:t>
      </w:r>
      <w:r w:rsidRPr="00A727C9">
        <w:rPr>
          <w:rFonts w:cs="Arial"/>
          <w:b/>
          <w:i/>
          <w:sz w:val="20"/>
          <w:szCs w:val="20"/>
        </w:rPr>
        <w:t>vremenu</w:t>
      </w:r>
      <w:r w:rsidR="0029486C">
        <w:rPr>
          <w:rFonts w:cs="Arial"/>
          <w:b/>
          <w:i/>
          <w:sz w:val="20"/>
          <w:szCs w:val="20"/>
        </w:rPr>
        <w:t xml:space="preserve"> i vremenskim uslovima</w:t>
      </w:r>
      <w:r w:rsidRPr="00A727C9">
        <w:rPr>
          <w:rFonts w:cs="Arial"/>
          <w:b/>
          <w:i/>
          <w:sz w:val="20"/>
          <w:szCs w:val="20"/>
        </w:rPr>
        <w:t>; eventualnim povredama učesnika</w:t>
      </w:r>
      <w:r w:rsidR="004E1629">
        <w:rPr>
          <w:rStyle w:val="FootnoteReference"/>
          <w:rFonts w:cs="Arial"/>
          <w:b/>
          <w:i/>
        </w:rPr>
        <w:footnoteReference w:id="2"/>
      </w:r>
      <w:r w:rsidRPr="00A727C9">
        <w:rPr>
          <w:rFonts w:cs="Arial"/>
          <w:b/>
          <w:i/>
          <w:sz w:val="20"/>
          <w:szCs w:val="20"/>
        </w:rPr>
        <w:t>; vozilima i oštećenjima vozila; tragovima saobraćajne nezgode; brzini i dinamici kretanja vozila; da sačini vremensko-prostornu analizu mogućnosti izbjegavanja nezgode (neposredno prije, kao i u trenutku nastanka nezgode); kao i da analizira način nastanka nezgode i kompatibilnost sudarnog procesa i nastalih oštećenja</w:t>
      </w:r>
      <w:r w:rsidR="008D3131">
        <w:rPr>
          <w:rFonts w:cs="Arial"/>
          <w:b/>
          <w:i/>
          <w:sz w:val="20"/>
          <w:szCs w:val="20"/>
        </w:rPr>
        <w:t>, kao i druge bitne činjenice i okolnosti koje utvrdi pri izradi nalaza</w:t>
      </w:r>
      <w:r w:rsidRPr="00A727C9">
        <w:rPr>
          <w:rFonts w:cs="Arial"/>
          <w:b/>
          <w:i/>
          <w:sz w:val="20"/>
          <w:szCs w:val="20"/>
        </w:rPr>
        <w:t>"</w:t>
      </w:r>
      <w:r w:rsidR="00B37F65">
        <w:rPr>
          <w:rFonts w:cs="Arial"/>
          <w:b/>
          <w:i/>
          <w:sz w:val="20"/>
          <w:szCs w:val="20"/>
        </w:rPr>
        <w:t>.</w:t>
      </w:r>
    </w:p>
    <w:p w:rsidR="00E82D2D" w:rsidRDefault="006447B5" w:rsidP="006447B5">
      <w:pPr>
        <w:rPr>
          <w:rFonts w:cs="Arial"/>
          <w:sz w:val="20"/>
          <w:szCs w:val="20"/>
        </w:rPr>
      </w:pPr>
      <w:r w:rsidRPr="006447B5">
        <w:rPr>
          <w:rFonts w:cs="Arial"/>
          <w:sz w:val="20"/>
          <w:szCs w:val="20"/>
        </w:rPr>
        <w:t>Vidimo da se vještak u suštini na osnovu drugih dokaza i naučnih metoda utvrđuje konkretno ponašanje učesnika i pravi analizu poredeći ga sa pravilnim ponašanjem koje  učesnik treba</w:t>
      </w:r>
      <w:r w:rsidR="00B37F65">
        <w:rPr>
          <w:rFonts w:cs="Arial"/>
          <w:sz w:val="20"/>
          <w:szCs w:val="20"/>
        </w:rPr>
        <w:t xml:space="preserve"> da</w:t>
      </w:r>
      <w:r w:rsidRPr="006447B5">
        <w:rPr>
          <w:rFonts w:cs="Arial"/>
          <w:sz w:val="20"/>
          <w:szCs w:val="20"/>
        </w:rPr>
        <w:t xml:space="preserve"> ispolji u toj situaciji, a sud bi na osnovu tog poređenja trebao da utvrdi postojanje uzročne ili posljedične veze, protivpravnost ponašanja i druge pravno relevantne okolnosti. </w:t>
      </w:r>
    </w:p>
    <w:p w:rsidR="006447B5" w:rsidRPr="006447B5" w:rsidRDefault="006447B5" w:rsidP="006447B5">
      <w:pPr>
        <w:rPr>
          <w:rFonts w:cs="Arial"/>
          <w:sz w:val="20"/>
          <w:szCs w:val="20"/>
        </w:rPr>
      </w:pPr>
      <w:r w:rsidRPr="006447B5">
        <w:rPr>
          <w:rFonts w:cs="Arial"/>
          <w:sz w:val="20"/>
          <w:szCs w:val="20"/>
        </w:rPr>
        <w:t>Vještak ni u kom slučaju ne bi smio da komentariše</w:t>
      </w:r>
      <w:r w:rsidR="00F47AE0">
        <w:rPr>
          <w:rFonts w:cs="Arial"/>
          <w:sz w:val="20"/>
          <w:szCs w:val="20"/>
        </w:rPr>
        <w:t xml:space="preserve"> ili citira</w:t>
      </w:r>
      <w:r w:rsidRPr="006447B5">
        <w:rPr>
          <w:rFonts w:cs="Arial"/>
          <w:sz w:val="20"/>
          <w:szCs w:val="20"/>
        </w:rPr>
        <w:t xml:space="preserve"> zakonske propise, da se izjašnjava o </w:t>
      </w:r>
      <w:r w:rsidR="00DE4ED3">
        <w:rPr>
          <w:rFonts w:cs="Arial"/>
          <w:sz w:val="20"/>
          <w:szCs w:val="20"/>
        </w:rPr>
        <w:t>„krivici“, „odgovronost</w:t>
      </w:r>
      <w:bookmarkStart w:id="1" w:name="_GoBack"/>
      <w:bookmarkEnd w:id="1"/>
      <w:r w:rsidR="00DE4ED3">
        <w:rPr>
          <w:rFonts w:cs="Arial"/>
          <w:sz w:val="20"/>
          <w:szCs w:val="20"/>
        </w:rPr>
        <w:t xml:space="preserve">i“, </w:t>
      </w:r>
      <w:r w:rsidRPr="006447B5">
        <w:rPr>
          <w:rFonts w:cs="Arial"/>
          <w:sz w:val="20"/>
          <w:szCs w:val="20"/>
        </w:rPr>
        <w:t>"</w:t>
      </w:r>
      <w:r w:rsidR="00DE4ED3">
        <w:rPr>
          <w:rFonts w:cs="Arial"/>
          <w:sz w:val="20"/>
          <w:szCs w:val="20"/>
        </w:rPr>
        <w:t>propustima</w:t>
      </w:r>
      <w:r w:rsidRPr="006447B5">
        <w:rPr>
          <w:rFonts w:cs="Arial"/>
          <w:sz w:val="20"/>
          <w:szCs w:val="20"/>
        </w:rPr>
        <w:t>", "doprinosu" i sličnim izrazima koji se</w:t>
      </w:r>
      <w:r w:rsidR="00F47AE0">
        <w:rPr>
          <w:rFonts w:cs="Arial"/>
          <w:sz w:val="20"/>
          <w:szCs w:val="20"/>
        </w:rPr>
        <w:t>, nažalost,</w:t>
      </w:r>
      <w:r w:rsidRPr="006447B5">
        <w:rPr>
          <w:rFonts w:cs="Arial"/>
          <w:sz w:val="20"/>
          <w:szCs w:val="20"/>
        </w:rPr>
        <w:t xml:space="preserve"> uobičajeno koriste.</w:t>
      </w:r>
    </w:p>
    <w:p w:rsidR="006447B5" w:rsidRPr="00F47AE0" w:rsidRDefault="006447B5" w:rsidP="002F0980">
      <w:pPr>
        <w:pStyle w:val="ListParagraph"/>
        <w:numPr>
          <w:ilvl w:val="0"/>
          <w:numId w:val="27"/>
        </w:numPr>
        <w:rPr>
          <w:rFonts w:cs="Arial"/>
          <w:b/>
          <w:sz w:val="20"/>
          <w:szCs w:val="20"/>
        </w:rPr>
      </w:pPr>
      <w:r w:rsidRPr="00F47AE0">
        <w:rPr>
          <w:rFonts w:cs="Arial"/>
          <w:b/>
          <w:sz w:val="20"/>
          <w:szCs w:val="20"/>
        </w:rPr>
        <w:t>REZULTAT IZVOĐENJA DOKAZA VJEŠTAČENJEM - NALAZ I MIŠLJENJE VJEŠTAKA</w:t>
      </w:r>
    </w:p>
    <w:p w:rsidR="006447B5" w:rsidRPr="006447B5" w:rsidRDefault="006447B5" w:rsidP="006447B5">
      <w:pPr>
        <w:rPr>
          <w:rFonts w:cs="Arial"/>
          <w:sz w:val="20"/>
          <w:szCs w:val="20"/>
        </w:rPr>
      </w:pPr>
      <w:r w:rsidRPr="006447B5">
        <w:rPr>
          <w:rFonts w:cs="Arial"/>
          <w:sz w:val="20"/>
          <w:szCs w:val="20"/>
        </w:rPr>
        <w:t>Po obavljenom vještačenju, vještak podnosi sudu pisani izvještaj o svom nalazu i daje mišljenje. Činjenice koje vještak sazna ili opazi istraživanjem u skladu sa pravilima nauke, struke ili vještine, predstavljaju nalaz. Vještak mora opisati predmet vještačenja i to prema stanju predmeta u trenutku kada se postupak vještačenja provodi.</w:t>
      </w:r>
    </w:p>
    <w:p w:rsidR="006447B5" w:rsidRPr="006447B5" w:rsidRDefault="006447B5" w:rsidP="006447B5">
      <w:pPr>
        <w:rPr>
          <w:rFonts w:cs="Arial"/>
          <w:sz w:val="20"/>
          <w:szCs w:val="20"/>
        </w:rPr>
      </w:pPr>
      <w:r w:rsidRPr="006447B5">
        <w:rPr>
          <w:rFonts w:cs="Arial"/>
          <w:sz w:val="20"/>
          <w:szCs w:val="20"/>
        </w:rPr>
        <w:t>Osnovna uloga saobraćajno-tehničkih vještaka odnosi se na stručno tumačenje i analizu tragova (posljedica) saobraćajne nezgode, otkrivanje zakonitosti nastanka tragova i pouzdano utvrđivanje važnih okolnosti nastanka nezgode, uz obavezno davanje stručnog mišljenja.</w:t>
      </w:r>
    </w:p>
    <w:p w:rsidR="006447B5" w:rsidRPr="007F174B" w:rsidRDefault="006447B5" w:rsidP="006447B5">
      <w:pPr>
        <w:rPr>
          <w:rFonts w:cs="Arial"/>
          <w:b/>
          <w:sz w:val="20"/>
          <w:szCs w:val="20"/>
        </w:rPr>
      </w:pPr>
      <w:r w:rsidRPr="007F174B">
        <w:rPr>
          <w:rFonts w:cs="Arial"/>
          <w:b/>
          <w:sz w:val="20"/>
          <w:szCs w:val="20"/>
        </w:rPr>
        <w:lastRenderedPageBreak/>
        <w:t>Vještak definiše radnje</w:t>
      </w:r>
      <w:r w:rsidR="00F84B52" w:rsidRPr="007F174B">
        <w:rPr>
          <w:rFonts w:cs="Arial"/>
          <w:b/>
          <w:sz w:val="20"/>
          <w:szCs w:val="20"/>
        </w:rPr>
        <w:t xml:space="preserve"> i/ili propuštanja</w:t>
      </w:r>
      <w:r w:rsidRPr="007F174B">
        <w:rPr>
          <w:rFonts w:cs="Arial"/>
          <w:b/>
          <w:sz w:val="20"/>
          <w:szCs w:val="20"/>
        </w:rPr>
        <w:t xml:space="preserve"> učesnika koji mogu biti:</w:t>
      </w:r>
    </w:p>
    <w:p w:rsidR="006447B5" w:rsidRPr="007F174B" w:rsidRDefault="006447B5" w:rsidP="002F0980">
      <w:pPr>
        <w:pStyle w:val="ListParagraph"/>
        <w:numPr>
          <w:ilvl w:val="0"/>
          <w:numId w:val="29"/>
        </w:numPr>
        <w:rPr>
          <w:rFonts w:cs="Arial"/>
          <w:b/>
          <w:sz w:val="20"/>
          <w:szCs w:val="20"/>
        </w:rPr>
      </w:pPr>
      <w:r w:rsidRPr="007F174B">
        <w:rPr>
          <w:rFonts w:cs="Arial"/>
          <w:b/>
          <w:sz w:val="20"/>
          <w:szCs w:val="20"/>
        </w:rPr>
        <w:t>radnje</w:t>
      </w:r>
      <w:r w:rsidR="00F84B52" w:rsidRPr="007F174B">
        <w:rPr>
          <w:rFonts w:cs="Arial"/>
          <w:b/>
          <w:sz w:val="20"/>
          <w:szCs w:val="20"/>
        </w:rPr>
        <w:t xml:space="preserve"> i/ili propuštanja</w:t>
      </w:r>
      <w:r w:rsidRPr="007F174B">
        <w:rPr>
          <w:rFonts w:cs="Arial"/>
          <w:b/>
          <w:sz w:val="20"/>
          <w:szCs w:val="20"/>
        </w:rPr>
        <w:t xml:space="preserve"> vezane za stvaranje opasne situacije,</w:t>
      </w:r>
    </w:p>
    <w:p w:rsidR="006447B5" w:rsidRPr="007F174B" w:rsidRDefault="006447B5" w:rsidP="002F0980">
      <w:pPr>
        <w:pStyle w:val="ListParagraph"/>
        <w:numPr>
          <w:ilvl w:val="0"/>
          <w:numId w:val="29"/>
        </w:numPr>
        <w:rPr>
          <w:rFonts w:cs="Arial"/>
          <w:b/>
          <w:sz w:val="20"/>
          <w:szCs w:val="20"/>
        </w:rPr>
      </w:pPr>
      <w:r w:rsidRPr="007F174B">
        <w:rPr>
          <w:rFonts w:cs="Arial"/>
          <w:b/>
          <w:sz w:val="20"/>
          <w:szCs w:val="20"/>
        </w:rPr>
        <w:t>radnje</w:t>
      </w:r>
      <w:r w:rsidR="00F84B52" w:rsidRPr="007F174B">
        <w:rPr>
          <w:rFonts w:cs="Arial"/>
          <w:b/>
          <w:sz w:val="20"/>
          <w:szCs w:val="20"/>
        </w:rPr>
        <w:t xml:space="preserve"> i/ili propuštanja</w:t>
      </w:r>
      <w:r w:rsidRPr="007F174B">
        <w:rPr>
          <w:rFonts w:cs="Arial"/>
          <w:b/>
          <w:sz w:val="20"/>
          <w:szCs w:val="20"/>
        </w:rPr>
        <w:t xml:space="preserve"> vezane za mogućnost izbjegavanja nezgode,</w:t>
      </w:r>
    </w:p>
    <w:p w:rsidR="006447B5" w:rsidRPr="007F174B" w:rsidRDefault="006447B5" w:rsidP="002F0980">
      <w:pPr>
        <w:pStyle w:val="ListParagraph"/>
        <w:numPr>
          <w:ilvl w:val="0"/>
          <w:numId w:val="29"/>
        </w:numPr>
        <w:rPr>
          <w:rFonts w:cs="Arial"/>
          <w:b/>
          <w:sz w:val="20"/>
          <w:szCs w:val="20"/>
        </w:rPr>
      </w:pPr>
      <w:r w:rsidRPr="007F174B">
        <w:rPr>
          <w:rFonts w:cs="Arial"/>
          <w:b/>
          <w:sz w:val="20"/>
          <w:szCs w:val="20"/>
        </w:rPr>
        <w:t>radnje</w:t>
      </w:r>
      <w:r w:rsidR="00F84B52" w:rsidRPr="007F174B">
        <w:rPr>
          <w:rFonts w:cs="Arial"/>
          <w:b/>
          <w:sz w:val="20"/>
          <w:szCs w:val="20"/>
        </w:rPr>
        <w:t xml:space="preserve"> i/ili propuštanja</w:t>
      </w:r>
      <w:r w:rsidRPr="007F174B">
        <w:rPr>
          <w:rFonts w:cs="Arial"/>
          <w:b/>
          <w:sz w:val="20"/>
          <w:szCs w:val="20"/>
        </w:rPr>
        <w:t xml:space="preserve"> vezane za eventualni doprinos težini posljedica nezgode.</w:t>
      </w:r>
    </w:p>
    <w:p w:rsidR="00276E3A" w:rsidRDefault="006447B5" w:rsidP="006447B5">
      <w:pPr>
        <w:rPr>
          <w:rFonts w:cs="Arial"/>
          <w:sz w:val="20"/>
          <w:szCs w:val="20"/>
        </w:rPr>
      </w:pPr>
      <w:r w:rsidRPr="006447B5">
        <w:rPr>
          <w:rFonts w:cs="Arial"/>
          <w:sz w:val="20"/>
          <w:szCs w:val="20"/>
        </w:rPr>
        <w:t>Mišljenje vještaka jeste</w:t>
      </w:r>
      <w:r w:rsidR="007F174B">
        <w:rPr>
          <w:rFonts w:cs="Arial"/>
          <w:sz w:val="20"/>
          <w:szCs w:val="20"/>
        </w:rPr>
        <w:t xml:space="preserve"> suštinski</w:t>
      </w:r>
      <w:r w:rsidRPr="006447B5">
        <w:rPr>
          <w:rFonts w:cs="Arial"/>
          <w:sz w:val="20"/>
          <w:szCs w:val="20"/>
        </w:rPr>
        <w:t xml:space="preserve"> definisanje različitosti ponašanja učesnika u nezgodi od učesnika u saobraćaju koji se ponaša u skladu sa pravilima saobraćaja. Vještak se ne izjašnjava o radnjama u smislu povrede konkretnih pravnih normi, ali njegov zadatak je da prvenstveno analizira iskazano ponašanje učesnika u nezgodi, a zatim da to ponašanje uporedi sa pravilnim ponašanjem. Ovd</w:t>
      </w:r>
      <w:r w:rsidR="00F923A9">
        <w:rPr>
          <w:rFonts w:cs="Arial"/>
          <w:sz w:val="20"/>
          <w:szCs w:val="20"/>
        </w:rPr>
        <w:t>j</w:t>
      </w:r>
      <w:r w:rsidRPr="006447B5">
        <w:rPr>
          <w:rFonts w:cs="Arial"/>
          <w:sz w:val="20"/>
          <w:szCs w:val="20"/>
        </w:rPr>
        <w:t>e, istina, vještak d</w:t>
      </w:r>
      <w:r w:rsidR="00F923A9">
        <w:rPr>
          <w:rFonts w:cs="Arial"/>
          <w:sz w:val="20"/>
          <w:szCs w:val="20"/>
        </w:rPr>
        <w:t>i</w:t>
      </w:r>
      <w:r w:rsidRPr="006447B5">
        <w:rPr>
          <w:rFonts w:cs="Arial"/>
          <w:sz w:val="20"/>
          <w:szCs w:val="20"/>
        </w:rPr>
        <w:t xml:space="preserve">jelom ulazi u primjenu prava, ali ako imamo u vidu da su saobraćajni inžinjeri ti koji su ovlašteni za obučavanje vozača i konstruisanje puteva, očigledno je da posjeduju odgovarajuća znanja i za davanje takvog mišljenja. </w:t>
      </w:r>
      <w:r w:rsidR="00717B5F" w:rsidRPr="00717B5F">
        <w:rPr>
          <w:rFonts w:cs="Arial"/>
          <w:sz w:val="20"/>
          <w:szCs w:val="20"/>
        </w:rPr>
        <w:t xml:space="preserve">Pri definisanju </w:t>
      </w:r>
      <w:r w:rsidR="00717B5F">
        <w:rPr>
          <w:rFonts w:cs="Arial"/>
          <w:sz w:val="20"/>
          <w:szCs w:val="20"/>
        </w:rPr>
        <w:t>radnji</w:t>
      </w:r>
      <w:r w:rsidR="00717B5F" w:rsidRPr="00717B5F">
        <w:rPr>
          <w:rFonts w:cs="Arial"/>
          <w:sz w:val="20"/>
          <w:szCs w:val="20"/>
        </w:rPr>
        <w:t xml:space="preserve"> koj</w:t>
      </w:r>
      <w:r w:rsidR="00717B5F">
        <w:rPr>
          <w:rFonts w:cs="Arial"/>
          <w:sz w:val="20"/>
          <w:szCs w:val="20"/>
        </w:rPr>
        <w:t>e</w:t>
      </w:r>
      <w:r w:rsidR="00717B5F" w:rsidRPr="00717B5F">
        <w:rPr>
          <w:rFonts w:cs="Arial"/>
          <w:sz w:val="20"/>
          <w:szCs w:val="20"/>
        </w:rPr>
        <w:t xml:space="preserve"> su sa saobraćajnotehničkog aspekta uzročno povezani sa</w:t>
      </w:r>
      <w:r w:rsidR="00717B5F">
        <w:rPr>
          <w:rFonts w:cs="Arial"/>
          <w:sz w:val="20"/>
          <w:szCs w:val="20"/>
        </w:rPr>
        <w:t xml:space="preserve"> </w:t>
      </w:r>
      <w:r w:rsidR="00717B5F" w:rsidRPr="00717B5F">
        <w:rPr>
          <w:rFonts w:cs="Arial"/>
          <w:sz w:val="20"/>
          <w:szCs w:val="20"/>
        </w:rPr>
        <w:t>nastankom saobraćajne nezgode, posebnu pažnju treba posvetiti naglim, bliskim i</w:t>
      </w:r>
      <w:r w:rsidR="00717B5F">
        <w:rPr>
          <w:rFonts w:cs="Arial"/>
          <w:sz w:val="20"/>
          <w:szCs w:val="20"/>
        </w:rPr>
        <w:t xml:space="preserve"> </w:t>
      </w:r>
      <w:r w:rsidR="00717B5F" w:rsidRPr="00717B5F">
        <w:rPr>
          <w:rFonts w:cs="Arial"/>
          <w:sz w:val="20"/>
          <w:szCs w:val="20"/>
        </w:rPr>
        <w:t>iznenadnim (neočekivanim) prom</w:t>
      </w:r>
      <w:r w:rsidR="00717B5F">
        <w:rPr>
          <w:rFonts w:cs="Arial"/>
          <w:sz w:val="20"/>
          <w:szCs w:val="20"/>
        </w:rPr>
        <w:t>j</w:t>
      </w:r>
      <w:r w:rsidR="00717B5F" w:rsidRPr="00717B5F">
        <w:rPr>
          <w:rFonts w:cs="Arial"/>
          <w:sz w:val="20"/>
          <w:szCs w:val="20"/>
        </w:rPr>
        <w:t>enama saobraćajnih uslova (radnji učesnika u saobraćaju)</w:t>
      </w:r>
      <w:r w:rsidR="007D4E29">
        <w:rPr>
          <w:rFonts w:cs="Arial"/>
          <w:sz w:val="20"/>
          <w:szCs w:val="20"/>
        </w:rPr>
        <w:t xml:space="preserve"> </w:t>
      </w:r>
      <w:r w:rsidR="00717B5F" w:rsidRPr="00717B5F">
        <w:rPr>
          <w:rFonts w:cs="Arial"/>
          <w:sz w:val="20"/>
          <w:szCs w:val="20"/>
        </w:rPr>
        <w:t>koje drugi učesnici u saobraćaju ne bi imali razloga da očekuju u datim uslovima.</w:t>
      </w:r>
    </w:p>
    <w:p w:rsidR="006447B5" w:rsidRPr="006447B5" w:rsidRDefault="00276E3A" w:rsidP="006447B5">
      <w:pPr>
        <w:rPr>
          <w:rFonts w:cs="Arial"/>
          <w:sz w:val="20"/>
          <w:szCs w:val="20"/>
        </w:rPr>
      </w:pPr>
      <w:r>
        <w:rPr>
          <w:rFonts w:cs="Arial"/>
          <w:sz w:val="20"/>
          <w:szCs w:val="20"/>
        </w:rPr>
        <w:t>R</w:t>
      </w:r>
      <w:r w:rsidR="006447B5" w:rsidRPr="006447B5">
        <w:rPr>
          <w:rFonts w:cs="Arial"/>
          <w:sz w:val="20"/>
          <w:szCs w:val="20"/>
        </w:rPr>
        <w:t>adi nepovredivosti prava na nezavisnost i samostalnost sudova, takvo mišljenje sud ne mora prihvatiti</w:t>
      </w:r>
      <w:r>
        <w:rPr>
          <w:rFonts w:cs="Arial"/>
          <w:sz w:val="20"/>
          <w:szCs w:val="20"/>
        </w:rPr>
        <w:t xml:space="preserve"> i ovlašten je na osnovu utvrđenih parametara zasnovati vlastito mišljenje</w:t>
      </w:r>
      <w:r w:rsidR="006447B5" w:rsidRPr="006447B5">
        <w:rPr>
          <w:rFonts w:cs="Arial"/>
          <w:sz w:val="20"/>
          <w:szCs w:val="20"/>
        </w:rPr>
        <w:t>.</w:t>
      </w:r>
    </w:p>
    <w:p w:rsidR="00D967A0" w:rsidRDefault="006447B5" w:rsidP="006447B5">
      <w:pPr>
        <w:rPr>
          <w:rFonts w:cs="Arial"/>
          <w:sz w:val="20"/>
          <w:szCs w:val="20"/>
        </w:rPr>
      </w:pPr>
      <w:r w:rsidRPr="006447B5">
        <w:rPr>
          <w:rFonts w:cs="Arial"/>
          <w:sz w:val="20"/>
          <w:szCs w:val="20"/>
        </w:rPr>
        <w:t xml:space="preserve">Vještak uvijek mora usmeno na raspravi pred sudom iznijeti svoj nalaz i obrazložiti svoje mišljenje (načelo neposrednosti izvođenja dokaza). Na osnovu utvrđenih činjenica prikazanih u nalazu, vještak je dužan iznijeti svoje mišljenje o predmetu vještačenja. Vještak je, dakle, dužan sudu iznijeti i metode kojima se služio pri zapažanju činjenica, te pravila nauke odnosno vještine koja je primijenio. </w:t>
      </w:r>
    </w:p>
    <w:p w:rsidR="006447B5" w:rsidRPr="006447B5" w:rsidRDefault="006447B5" w:rsidP="006447B5">
      <w:pPr>
        <w:rPr>
          <w:rFonts w:cs="Arial"/>
          <w:sz w:val="20"/>
          <w:szCs w:val="20"/>
        </w:rPr>
      </w:pPr>
      <w:r w:rsidRPr="006447B5">
        <w:rPr>
          <w:rFonts w:cs="Arial"/>
          <w:sz w:val="20"/>
          <w:szCs w:val="20"/>
        </w:rPr>
        <w:t>Ova dužnost vještaka da d</w:t>
      </w:r>
      <w:r w:rsidR="003E1646">
        <w:rPr>
          <w:rFonts w:cs="Arial"/>
          <w:sz w:val="20"/>
          <w:szCs w:val="20"/>
        </w:rPr>
        <w:t>â</w:t>
      </w:r>
      <w:r w:rsidRPr="006447B5">
        <w:rPr>
          <w:rFonts w:cs="Arial"/>
          <w:sz w:val="20"/>
          <w:szCs w:val="20"/>
        </w:rPr>
        <w:t xml:space="preserve"> obrazloženje svog mišljenja, odraz je prava suda i stranaka da rad vještaka podvrgnu analizi i kritici. To mišljenje mora biti jasno, dokumentovano i logički izloženo. Dužnost je vještaka da potpuno i precizno obrazloži svoje mišljenje, da se izjasni kako je došao do svoje ocjene, odnosno zaključka u vezi sa ispitanim i utvrđenim činjenicama. Ukoliko</w:t>
      </w:r>
      <w:r w:rsidR="006B5582">
        <w:rPr>
          <w:rFonts w:cs="Arial"/>
          <w:sz w:val="20"/>
          <w:szCs w:val="20"/>
        </w:rPr>
        <w:t xml:space="preserve"> je</w:t>
      </w:r>
      <w:r w:rsidRPr="006447B5">
        <w:rPr>
          <w:rFonts w:cs="Arial"/>
          <w:sz w:val="20"/>
          <w:szCs w:val="20"/>
        </w:rPr>
        <w:t xml:space="preserve"> prilikom izrade nalaza koristio računarske programe za analizu nezgoda, dužan je uz nalaz dostaviti i prilog u vidu fajlova koje je unio u program, kako bi suprotna strana ili sud, eventualno uz pomoć drugog vještaka, mogli provjeriti dobijene rezultate.</w:t>
      </w:r>
    </w:p>
    <w:p w:rsidR="006447B5" w:rsidRPr="00A03E10" w:rsidRDefault="006447B5" w:rsidP="006447B5">
      <w:pPr>
        <w:rPr>
          <w:rFonts w:cs="Arial"/>
          <w:sz w:val="20"/>
          <w:szCs w:val="20"/>
        </w:rPr>
      </w:pPr>
      <w:r w:rsidRPr="00A03E10">
        <w:rPr>
          <w:rFonts w:cs="Arial"/>
          <w:sz w:val="20"/>
          <w:szCs w:val="20"/>
        </w:rPr>
        <w:t>Ako sud ne</w:t>
      </w:r>
      <w:r w:rsidR="00A03E10" w:rsidRPr="00A03E10">
        <w:rPr>
          <w:rFonts w:cs="Arial"/>
          <w:sz w:val="20"/>
          <w:szCs w:val="20"/>
        </w:rPr>
        <w:t xml:space="preserve"> zatraži</w:t>
      </w:r>
      <w:r w:rsidRPr="00A03E10">
        <w:rPr>
          <w:rFonts w:cs="Arial"/>
          <w:sz w:val="20"/>
          <w:szCs w:val="20"/>
        </w:rPr>
        <w:t xml:space="preserve"> od vještaka da se na traženje stranke izjasni o određenoj odlučnoj okolnosti u vezi s nalazom i mišljenjem, smatraće se da je toj stranci onemogućeno pravo na raspravljanje pred sudom. Ovakav propust suda se smatra bitnom povredom odredaba krivičnog postupka.</w:t>
      </w:r>
    </w:p>
    <w:p w:rsidR="006447B5" w:rsidRPr="006447B5" w:rsidRDefault="006447B5" w:rsidP="006447B5">
      <w:pPr>
        <w:rPr>
          <w:rFonts w:cs="Arial"/>
          <w:sz w:val="20"/>
          <w:szCs w:val="20"/>
        </w:rPr>
      </w:pPr>
      <w:r w:rsidRPr="006447B5">
        <w:rPr>
          <w:rFonts w:cs="Arial"/>
          <w:sz w:val="20"/>
          <w:szCs w:val="20"/>
        </w:rPr>
        <w:t>Sud mora ocijeniti nalaz i mišljenje vještaka, prije svega u sadržajnom pogledu, tako da ga shvati i procijeni.</w:t>
      </w:r>
    </w:p>
    <w:p w:rsidR="006447B5" w:rsidRPr="006447B5" w:rsidRDefault="006447B5" w:rsidP="006447B5">
      <w:pPr>
        <w:rPr>
          <w:rFonts w:cs="Arial"/>
          <w:sz w:val="20"/>
          <w:szCs w:val="20"/>
        </w:rPr>
      </w:pPr>
      <w:r w:rsidRPr="006447B5">
        <w:rPr>
          <w:rFonts w:cs="Arial"/>
          <w:sz w:val="20"/>
          <w:szCs w:val="20"/>
        </w:rPr>
        <w:t xml:space="preserve">U postupku provođenja dokaza vještačenjem, stranke mogu </w:t>
      </w:r>
      <w:r w:rsidR="00A03E10">
        <w:rPr>
          <w:rFonts w:cs="Arial"/>
          <w:sz w:val="20"/>
          <w:szCs w:val="20"/>
        </w:rPr>
        <w:t>ulagati</w:t>
      </w:r>
      <w:r w:rsidRPr="006447B5">
        <w:rPr>
          <w:rFonts w:cs="Arial"/>
          <w:sz w:val="20"/>
          <w:szCs w:val="20"/>
        </w:rPr>
        <w:t xml:space="preserve"> prigovore na konkretan sadržaj nalaza i mišljenja vještaka, naročito ako su nalaz i mišljenje nejasni, nepotpuni, neobjektivni ili protivrječni. Stranka koja prigovara nalazu i mišljenju vještaka dužna je istaći konkretne primjedbe. Izjašnjenje krivične stranke o nalazu i mišljenju mora biti izričito, opredijeljeno i u njemu se mora tačno navesti u čemu se sastoji pogrešno postupanje vještaka. Prilikom ocjene primjedbi stranaka, sud mora obrazložiti zašto te primjedbe smatra neosnovanim. Ako u toku postupka prihvati primjedbe stranaka, sudu stoji na raspolaganju mogućnost za sanaciju propusta u vještačenju u rasponu od traženja dodatnih razjašnjenja od vještaka do obnove postupka vještačenja sa drugim vještacima.</w:t>
      </w:r>
    </w:p>
    <w:p w:rsidR="006447B5" w:rsidRDefault="006447B5" w:rsidP="006447B5">
      <w:pPr>
        <w:rPr>
          <w:rFonts w:cs="Arial"/>
          <w:sz w:val="20"/>
          <w:szCs w:val="20"/>
        </w:rPr>
      </w:pPr>
      <w:r w:rsidRPr="006447B5">
        <w:rPr>
          <w:rFonts w:cs="Arial"/>
          <w:sz w:val="20"/>
          <w:szCs w:val="20"/>
        </w:rPr>
        <w:t>Ako su nalaz ili mišljenje nejasni, nepotpuni ili protivrječni, sud će pozvati vještaka da ih dopuni ili ispravi, uz napomenu o tome u kojem je smislu potrebno izvršiti dopunu ili ispravku, te će mu za to ostaviti naknadan rok. Ako se na samoj glavnoj raspravi na osnovu primjedbi stranaka utvrdi da je nalaz nepotpun ili protivrječan, ili ako se vještak na ove primjedbe ne može izjasniti na samoj raspravi, sud bi, na zahtjev stranke, morao naložiti vještaku da dostavi pisanu dopunu ili ispravku, te bi to bio opravdan razlog za odlaganje. U tom slučaju, ponovo bi trebalo odrediti rok za dostavu dopune ili ispravke nalaza, imajući u vidu da one, kao i prvobitni nalaz, moraju biti dostavljene strankama najmanje osam dana prije održavanja sljedećeg ročišta za glavnu raspravu. Ako vještak ne postupi po pozivu suda, sud će postupiti kao da nalaz nije ni dostavljen, tj. odrediće drugog vještaka.</w:t>
      </w:r>
    </w:p>
    <w:p w:rsidR="006447B5" w:rsidRPr="00A52D44" w:rsidRDefault="006447B5" w:rsidP="002F0980">
      <w:pPr>
        <w:pStyle w:val="ListParagraph"/>
        <w:numPr>
          <w:ilvl w:val="0"/>
          <w:numId w:val="27"/>
        </w:numPr>
        <w:rPr>
          <w:rFonts w:cs="Arial"/>
          <w:b/>
          <w:sz w:val="20"/>
          <w:szCs w:val="20"/>
        </w:rPr>
      </w:pPr>
      <w:r w:rsidRPr="00A52D44">
        <w:rPr>
          <w:rFonts w:cs="Arial"/>
          <w:b/>
          <w:sz w:val="20"/>
          <w:szCs w:val="20"/>
        </w:rPr>
        <w:t>NAČELO IN DUBIO PRO REO</w:t>
      </w:r>
    </w:p>
    <w:p w:rsidR="00FD77C4" w:rsidRPr="00FD77C4" w:rsidRDefault="00FD77C4" w:rsidP="00FD77C4">
      <w:pPr>
        <w:rPr>
          <w:rFonts w:cs="Arial"/>
          <w:sz w:val="20"/>
          <w:szCs w:val="20"/>
        </w:rPr>
      </w:pPr>
      <w:r w:rsidRPr="00FD77C4">
        <w:rPr>
          <w:rFonts w:cs="Arial"/>
          <w:sz w:val="20"/>
          <w:szCs w:val="20"/>
        </w:rPr>
        <w:lastRenderedPageBreak/>
        <w:t>Osnovna obaveza vještaka je da pruže precizne, temeljite i objektivne izvještaje, te da jasno identifikuju i obrazlože sve činjenice.</w:t>
      </w:r>
      <w:r w:rsidR="008F71E4" w:rsidRPr="008F71E4">
        <w:t xml:space="preserve"> </w:t>
      </w:r>
      <w:r w:rsidR="008F71E4" w:rsidRPr="008F71E4">
        <w:rPr>
          <w:rFonts w:cs="Arial"/>
          <w:sz w:val="20"/>
          <w:szCs w:val="20"/>
        </w:rPr>
        <w:t>Prilikom vještačenja vještak će se sigurno sresti sa određenim sumnjama i neće moći uvijek da pouzdano utvrdi činjenice.</w:t>
      </w:r>
    </w:p>
    <w:p w:rsidR="00D967A0" w:rsidRPr="006447B5" w:rsidRDefault="00D967A0" w:rsidP="00D967A0">
      <w:pPr>
        <w:rPr>
          <w:rFonts w:cs="Arial"/>
          <w:sz w:val="20"/>
          <w:szCs w:val="20"/>
        </w:rPr>
      </w:pPr>
      <w:r w:rsidRPr="00D967A0">
        <w:rPr>
          <w:rFonts w:cs="Arial"/>
          <w:sz w:val="20"/>
          <w:szCs w:val="20"/>
        </w:rPr>
        <w:t xml:space="preserve">Najčešće greške koje čine vještaci saobraćajno </w:t>
      </w:r>
      <w:r w:rsidR="00DA700C">
        <w:rPr>
          <w:rFonts w:cs="Arial"/>
          <w:sz w:val="20"/>
          <w:szCs w:val="20"/>
        </w:rPr>
        <w:t xml:space="preserve">- </w:t>
      </w:r>
      <w:r w:rsidRPr="00D967A0">
        <w:rPr>
          <w:rFonts w:cs="Arial"/>
          <w:sz w:val="20"/>
          <w:szCs w:val="20"/>
        </w:rPr>
        <w:t>tehničke struke</w:t>
      </w:r>
      <w:r w:rsidR="00EF45E6">
        <w:rPr>
          <w:rFonts w:cs="Arial"/>
          <w:sz w:val="20"/>
          <w:szCs w:val="20"/>
        </w:rPr>
        <w:t xml:space="preserve"> jeste kada</w:t>
      </w:r>
      <w:r w:rsidR="00D35BE6">
        <w:rPr>
          <w:rFonts w:cs="Arial"/>
          <w:sz w:val="20"/>
          <w:szCs w:val="20"/>
        </w:rPr>
        <w:t xml:space="preserve"> </w:t>
      </w:r>
      <w:r w:rsidR="00EF45E6">
        <w:rPr>
          <w:rFonts w:cs="Arial"/>
          <w:sz w:val="20"/>
          <w:szCs w:val="20"/>
        </w:rPr>
        <w:t>u takvim situacijama</w:t>
      </w:r>
      <w:r w:rsidR="00B803E5">
        <w:rPr>
          <w:rFonts w:cs="Arial"/>
          <w:sz w:val="20"/>
          <w:szCs w:val="20"/>
        </w:rPr>
        <w:t xml:space="preserve"> pribjegnu</w:t>
      </w:r>
      <w:r w:rsidRPr="00D967A0">
        <w:rPr>
          <w:rFonts w:cs="Arial"/>
          <w:sz w:val="20"/>
          <w:szCs w:val="20"/>
        </w:rPr>
        <w:t xml:space="preserve"> primjen</w:t>
      </w:r>
      <w:r w:rsidR="00B803E5">
        <w:rPr>
          <w:rFonts w:cs="Arial"/>
          <w:sz w:val="20"/>
          <w:szCs w:val="20"/>
        </w:rPr>
        <w:t>i</w:t>
      </w:r>
      <w:r w:rsidRPr="00D967A0">
        <w:rPr>
          <w:rFonts w:cs="Arial"/>
          <w:sz w:val="20"/>
          <w:szCs w:val="20"/>
        </w:rPr>
        <w:t xml:space="preserve"> prosječnih</w:t>
      </w:r>
      <w:r w:rsidR="00EF45E6">
        <w:rPr>
          <w:rFonts w:cs="Arial"/>
          <w:sz w:val="20"/>
          <w:szCs w:val="20"/>
        </w:rPr>
        <w:t xml:space="preserve"> i</w:t>
      </w:r>
      <w:r w:rsidR="00B803E5">
        <w:rPr>
          <w:rFonts w:cs="Arial"/>
          <w:sz w:val="20"/>
          <w:szCs w:val="20"/>
        </w:rPr>
        <w:t>li</w:t>
      </w:r>
      <w:r w:rsidR="00EF45E6">
        <w:rPr>
          <w:rFonts w:cs="Arial"/>
          <w:sz w:val="20"/>
          <w:szCs w:val="20"/>
        </w:rPr>
        <w:t xml:space="preserve"> procijenjenih</w:t>
      </w:r>
      <w:r>
        <w:rPr>
          <w:rFonts w:cs="Arial"/>
          <w:sz w:val="20"/>
          <w:szCs w:val="20"/>
        </w:rPr>
        <w:t xml:space="preserve"> </w:t>
      </w:r>
      <w:r w:rsidRPr="00D967A0">
        <w:rPr>
          <w:rFonts w:cs="Arial"/>
          <w:sz w:val="20"/>
          <w:szCs w:val="20"/>
        </w:rPr>
        <w:t>vrijednosti (usporenja, brzina pješaka, deformacija vozila itd) u krivičnim postupcima</w:t>
      </w:r>
      <w:r w:rsidR="00EF45E6">
        <w:rPr>
          <w:rFonts w:cs="Arial"/>
          <w:sz w:val="20"/>
          <w:szCs w:val="20"/>
        </w:rPr>
        <w:t>.</w:t>
      </w:r>
      <w:r w:rsidR="00EF45E6" w:rsidRPr="00EF45E6">
        <w:rPr>
          <w:rFonts w:cs="Arial"/>
          <w:sz w:val="20"/>
          <w:szCs w:val="20"/>
        </w:rPr>
        <w:t xml:space="preserve"> </w:t>
      </w:r>
      <w:r w:rsidR="00EF45E6" w:rsidRPr="006447B5">
        <w:rPr>
          <w:rFonts w:cs="Arial"/>
          <w:sz w:val="20"/>
          <w:szCs w:val="20"/>
        </w:rPr>
        <w:t>Vještačenje mora biti lišeno pretpostavki i zasnovano isključivo na činjenicama do kojih se može doći uz pomoć dokaza ili naučnim putem.</w:t>
      </w:r>
    </w:p>
    <w:p w:rsidR="00FD77C4" w:rsidRDefault="006447B5" w:rsidP="006447B5">
      <w:pPr>
        <w:rPr>
          <w:rFonts w:cs="Arial"/>
          <w:sz w:val="20"/>
          <w:szCs w:val="20"/>
        </w:rPr>
      </w:pPr>
      <w:r w:rsidRPr="006447B5">
        <w:rPr>
          <w:rFonts w:cs="Arial"/>
          <w:sz w:val="20"/>
          <w:szCs w:val="20"/>
        </w:rPr>
        <w:t xml:space="preserve">Načelo </w:t>
      </w:r>
      <w:r w:rsidRPr="00FD77C4">
        <w:rPr>
          <w:rFonts w:cs="Arial"/>
          <w:i/>
          <w:sz w:val="20"/>
          <w:szCs w:val="20"/>
        </w:rPr>
        <w:t>in dubio pro reo</w:t>
      </w:r>
      <w:r w:rsidRPr="006447B5">
        <w:rPr>
          <w:rFonts w:cs="Arial"/>
          <w:sz w:val="20"/>
          <w:szCs w:val="20"/>
        </w:rPr>
        <w:t xml:space="preserve"> ima ulogu u saobraćajnom vještačenju i uticaj na rad vještaka. </w:t>
      </w:r>
      <w:r w:rsidR="00FD77C4" w:rsidRPr="006447B5">
        <w:rPr>
          <w:rFonts w:cs="Arial"/>
          <w:sz w:val="20"/>
          <w:szCs w:val="20"/>
        </w:rPr>
        <w:t>Pravilo je da se sumnje u sudskim postupcima tumače u korist optuženog, čime se osigurava pravičnost i zakonitost postupka.</w:t>
      </w:r>
    </w:p>
    <w:p w:rsidR="008F71E4" w:rsidRDefault="006447B5" w:rsidP="006447B5">
      <w:pPr>
        <w:rPr>
          <w:rFonts w:cs="Arial"/>
          <w:sz w:val="20"/>
          <w:szCs w:val="20"/>
        </w:rPr>
      </w:pPr>
      <w:r w:rsidRPr="006447B5">
        <w:rPr>
          <w:rFonts w:cs="Arial"/>
          <w:sz w:val="20"/>
          <w:szCs w:val="20"/>
        </w:rPr>
        <w:t xml:space="preserve">Vještaci, stoga, igraju vitalnu ulogu u primjeni ovog načela, doprinoseći pravednom donošenju odluka i zaštiti prava optuženih. Ovo ipak ne treba shvatiti kao doslovnu obavezu da se vještačenjem pogoduje okrivljenim licima. Vještak da bi pravilno primijenio ovo načelo će uvijek kada postoji sumnja na koji način se desila nezgoda, analizirati više mogućih scenarija i predočiti sudu rezultate tih analiza kako bi sud cijeneći i sve druge dokaze mogao donijeti pravilnu odluku. </w:t>
      </w:r>
    </w:p>
    <w:p w:rsidR="006447B5" w:rsidRDefault="006447B5" w:rsidP="006447B5">
      <w:pPr>
        <w:rPr>
          <w:rFonts w:cs="Arial"/>
          <w:sz w:val="20"/>
          <w:szCs w:val="20"/>
        </w:rPr>
      </w:pPr>
      <w:r w:rsidRPr="006447B5">
        <w:rPr>
          <w:rFonts w:cs="Arial"/>
          <w:sz w:val="20"/>
          <w:szCs w:val="20"/>
        </w:rPr>
        <w:t xml:space="preserve">Vještak ne smije u svom nalazu, u nedostatku dokaznog materijala, koristiti nedokazane pretpostavke i utvrđivati činjenice koje nisu potkrijepljene materijalnim dokazima i tragovima. Prilikom dileme oko postojanja neke okolnosti, vještak  </w:t>
      </w:r>
      <w:r w:rsidR="00D35BE6">
        <w:rPr>
          <w:rFonts w:cs="Arial"/>
          <w:sz w:val="20"/>
          <w:szCs w:val="20"/>
        </w:rPr>
        <w:t xml:space="preserve">će </w:t>
      </w:r>
      <w:r w:rsidRPr="006447B5">
        <w:rPr>
          <w:rFonts w:cs="Arial"/>
          <w:sz w:val="20"/>
          <w:szCs w:val="20"/>
        </w:rPr>
        <w:t>koristiti</w:t>
      </w:r>
      <w:r w:rsidR="006D5A38">
        <w:rPr>
          <w:rFonts w:cs="Arial"/>
          <w:sz w:val="20"/>
          <w:szCs w:val="20"/>
        </w:rPr>
        <w:t xml:space="preserve"> samo</w:t>
      </w:r>
      <w:r w:rsidRPr="006447B5">
        <w:rPr>
          <w:rFonts w:cs="Arial"/>
          <w:sz w:val="20"/>
          <w:szCs w:val="20"/>
        </w:rPr>
        <w:t xml:space="preserve"> ono što se sa sigurnošću može utvrditi ili ono što je među datim mogućnostima najpovoljnije po okrivljenog. Npr. ako ne postoje tragovi da je vozilo forsirano kočeno, vještak će u svom nalazu navesti da ne postoje dokazi da je vozilo bilo kočeno ili usporavano i da se jedino sa sigurnošću može utvrditi da je u trenutku sudara posjedovalo utvrđenu brzinu </w:t>
      </w:r>
      <w:r w:rsidR="006D5A38">
        <w:rPr>
          <w:rFonts w:cs="Arial"/>
          <w:sz w:val="20"/>
          <w:szCs w:val="20"/>
        </w:rPr>
        <w:t>u trenutku sudara</w:t>
      </w:r>
      <w:r w:rsidRPr="006447B5">
        <w:rPr>
          <w:rFonts w:cs="Arial"/>
          <w:sz w:val="20"/>
          <w:szCs w:val="20"/>
        </w:rPr>
        <w:t xml:space="preserve">. </w:t>
      </w:r>
    </w:p>
    <w:p w:rsidR="0019588C" w:rsidRPr="006B23E6" w:rsidRDefault="0019588C" w:rsidP="005A2687">
      <w:pPr>
        <w:rPr>
          <w:rFonts w:cs="Arial"/>
          <w:color w:val="000000" w:themeColor="text1"/>
          <w:sz w:val="20"/>
          <w:szCs w:val="20"/>
        </w:rPr>
      </w:pPr>
      <w:r w:rsidRPr="006B23E6">
        <w:rPr>
          <w:rFonts w:cs="Arial"/>
          <w:color w:val="000000" w:themeColor="text1"/>
          <w:sz w:val="20"/>
          <w:szCs w:val="20"/>
        </w:rPr>
        <w:t>Vještacima je strogo zabranjeno da se izjašnjavaju</w:t>
      </w:r>
      <w:r w:rsidR="007D4E29" w:rsidRPr="006B23E6">
        <w:rPr>
          <w:rFonts w:cs="Arial"/>
          <w:color w:val="000000" w:themeColor="text1"/>
          <w:sz w:val="20"/>
          <w:szCs w:val="20"/>
        </w:rPr>
        <w:t xml:space="preserve"> paušalnim i neodređnim izrazima</w:t>
      </w:r>
      <w:r w:rsidR="00934D1F" w:rsidRPr="006B23E6">
        <w:rPr>
          <w:rStyle w:val="FootnoteReference"/>
          <w:rFonts w:cs="Arial"/>
          <w:color w:val="000000" w:themeColor="text1"/>
        </w:rPr>
        <w:footnoteReference w:id="3"/>
      </w:r>
      <w:r w:rsidR="00CF372D" w:rsidRPr="006B23E6">
        <w:rPr>
          <w:rFonts w:cs="Arial"/>
          <w:color w:val="000000" w:themeColor="text1"/>
          <w:sz w:val="20"/>
          <w:szCs w:val="20"/>
        </w:rPr>
        <w:t xml:space="preserve"> poput izraza „oko“, „približno“, „vjerovatno“</w:t>
      </w:r>
      <w:r w:rsidR="00E343A0" w:rsidRPr="006B23E6">
        <w:rPr>
          <w:rFonts w:cs="Arial"/>
          <w:color w:val="000000" w:themeColor="text1"/>
          <w:sz w:val="20"/>
          <w:szCs w:val="20"/>
        </w:rPr>
        <w:t xml:space="preserve"> i sl. </w:t>
      </w:r>
      <w:r w:rsidR="005A2687" w:rsidRPr="006B23E6">
        <w:rPr>
          <w:rFonts w:cs="Arial"/>
          <w:color w:val="000000" w:themeColor="text1"/>
          <w:sz w:val="20"/>
          <w:szCs w:val="20"/>
        </w:rPr>
        <w:t xml:space="preserve">Neophodno </w:t>
      </w:r>
      <w:r w:rsidR="005A2687" w:rsidRPr="006B23E6">
        <w:rPr>
          <w:rFonts w:cs="Arial"/>
          <w:color w:val="000000" w:themeColor="text1"/>
          <w:sz w:val="20"/>
          <w:szCs w:val="20"/>
        </w:rPr>
        <w:t xml:space="preserve">je Sudu </w:t>
      </w:r>
      <w:r w:rsidR="005A2687" w:rsidRPr="006B23E6">
        <w:rPr>
          <w:rFonts w:cs="Arial"/>
          <w:color w:val="000000" w:themeColor="text1"/>
          <w:sz w:val="20"/>
          <w:szCs w:val="20"/>
        </w:rPr>
        <w:t xml:space="preserve">detaljno </w:t>
      </w:r>
      <w:r w:rsidR="005A2687" w:rsidRPr="006B23E6">
        <w:rPr>
          <w:rFonts w:cs="Arial"/>
          <w:color w:val="000000" w:themeColor="text1"/>
          <w:sz w:val="20"/>
          <w:szCs w:val="20"/>
        </w:rPr>
        <w:t>obrazložiti način na koji v</w:t>
      </w:r>
      <w:r w:rsidR="005A2687" w:rsidRPr="006B23E6">
        <w:rPr>
          <w:rFonts w:cs="Arial"/>
          <w:color w:val="000000" w:themeColor="text1"/>
          <w:sz w:val="20"/>
          <w:szCs w:val="20"/>
        </w:rPr>
        <w:t>j</w:t>
      </w:r>
      <w:r w:rsidR="005A2687" w:rsidRPr="006B23E6">
        <w:rPr>
          <w:rFonts w:cs="Arial"/>
          <w:color w:val="000000" w:themeColor="text1"/>
          <w:sz w:val="20"/>
          <w:szCs w:val="20"/>
        </w:rPr>
        <w:t>eštak dolazi</w:t>
      </w:r>
      <w:r w:rsidR="005A2687" w:rsidRPr="006B23E6">
        <w:rPr>
          <w:rFonts w:cs="Arial"/>
          <w:color w:val="000000" w:themeColor="text1"/>
          <w:sz w:val="20"/>
          <w:szCs w:val="20"/>
        </w:rPr>
        <w:cr/>
        <w:t>do određenih vr</w:t>
      </w:r>
      <w:r w:rsidR="006B23E6" w:rsidRPr="006B23E6">
        <w:rPr>
          <w:rFonts w:cs="Arial"/>
          <w:color w:val="000000" w:themeColor="text1"/>
          <w:sz w:val="20"/>
          <w:szCs w:val="20"/>
        </w:rPr>
        <w:t>ij</w:t>
      </w:r>
      <w:r w:rsidR="005A2687" w:rsidRPr="006B23E6">
        <w:rPr>
          <w:rFonts w:cs="Arial"/>
          <w:color w:val="000000" w:themeColor="text1"/>
          <w:sz w:val="20"/>
          <w:szCs w:val="20"/>
        </w:rPr>
        <w:t>ednosti. Posebno bi bilo važno, ako je moguće, utvrditi granične vr</w:t>
      </w:r>
      <w:r w:rsidR="006B23E6" w:rsidRPr="006B23E6">
        <w:rPr>
          <w:rFonts w:cs="Arial"/>
          <w:color w:val="000000" w:themeColor="text1"/>
          <w:sz w:val="20"/>
          <w:szCs w:val="20"/>
        </w:rPr>
        <w:t>ij</w:t>
      </w:r>
      <w:r w:rsidR="005A2687" w:rsidRPr="006B23E6">
        <w:rPr>
          <w:rFonts w:cs="Arial"/>
          <w:color w:val="000000" w:themeColor="text1"/>
          <w:sz w:val="20"/>
          <w:szCs w:val="20"/>
        </w:rPr>
        <w:t>ednosti</w:t>
      </w:r>
      <w:r w:rsidR="006B23E6" w:rsidRPr="006B23E6">
        <w:rPr>
          <w:rFonts w:cs="Arial"/>
          <w:color w:val="000000" w:themeColor="text1"/>
          <w:sz w:val="20"/>
          <w:szCs w:val="20"/>
        </w:rPr>
        <w:t xml:space="preserve"> </w:t>
      </w:r>
      <w:r w:rsidR="005A2687" w:rsidRPr="006B23E6">
        <w:rPr>
          <w:rFonts w:cs="Arial"/>
          <w:color w:val="000000" w:themeColor="text1"/>
          <w:sz w:val="20"/>
          <w:szCs w:val="20"/>
        </w:rPr>
        <w:t>veličine koju v</w:t>
      </w:r>
      <w:r w:rsidR="006B23E6" w:rsidRPr="006B23E6">
        <w:rPr>
          <w:rFonts w:cs="Arial"/>
          <w:color w:val="000000" w:themeColor="text1"/>
          <w:sz w:val="20"/>
          <w:szCs w:val="20"/>
        </w:rPr>
        <w:t>j</w:t>
      </w:r>
      <w:r w:rsidR="005A2687" w:rsidRPr="006B23E6">
        <w:rPr>
          <w:rFonts w:cs="Arial"/>
          <w:color w:val="000000" w:themeColor="text1"/>
          <w:sz w:val="20"/>
          <w:szCs w:val="20"/>
        </w:rPr>
        <w:t>eštak c</w:t>
      </w:r>
      <w:r w:rsidR="006B23E6" w:rsidRPr="006B23E6">
        <w:rPr>
          <w:rFonts w:cs="Arial"/>
          <w:color w:val="000000" w:themeColor="text1"/>
          <w:sz w:val="20"/>
          <w:szCs w:val="20"/>
        </w:rPr>
        <w:t>ij</w:t>
      </w:r>
      <w:r w:rsidR="005A2687" w:rsidRPr="006B23E6">
        <w:rPr>
          <w:rFonts w:cs="Arial"/>
          <w:color w:val="000000" w:themeColor="text1"/>
          <w:sz w:val="20"/>
          <w:szCs w:val="20"/>
        </w:rPr>
        <w:t>eni (najmanje ili najviše).</w:t>
      </w:r>
    </w:p>
    <w:p w:rsidR="006447B5" w:rsidRPr="00FD7DB2" w:rsidRDefault="006447B5" w:rsidP="002F0980">
      <w:pPr>
        <w:pStyle w:val="ListParagraph"/>
        <w:numPr>
          <w:ilvl w:val="0"/>
          <w:numId w:val="27"/>
        </w:numPr>
        <w:rPr>
          <w:rFonts w:cs="Arial"/>
          <w:b/>
          <w:sz w:val="20"/>
          <w:szCs w:val="20"/>
        </w:rPr>
      </w:pPr>
      <w:r w:rsidRPr="00FD7DB2">
        <w:rPr>
          <w:rFonts w:cs="Arial"/>
          <w:b/>
          <w:sz w:val="20"/>
          <w:szCs w:val="20"/>
        </w:rPr>
        <w:t>KO SUDI, SUDIJA ILI VJEŠTAK?</w:t>
      </w:r>
    </w:p>
    <w:p w:rsidR="00FD7DB2" w:rsidRDefault="006447B5" w:rsidP="006447B5">
      <w:pPr>
        <w:rPr>
          <w:rFonts w:cs="Arial"/>
          <w:sz w:val="20"/>
          <w:szCs w:val="20"/>
        </w:rPr>
      </w:pPr>
      <w:r w:rsidRPr="006447B5">
        <w:rPr>
          <w:rFonts w:cs="Arial"/>
          <w:sz w:val="20"/>
          <w:szCs w:val="20"/>
        </w:rPr>
        <w:t>U praksi, naročito u krivičnim postupcima sa složenijim činjeničnim supstratom, gdje je pomoć vještaka u utvrđivanju činjenica neophodna i nezamjen</w:t>
      </w:r>
      <w:r w:rsidR="00260907">
        <w:rPr>
          <w:rFonts w:cs="Arial"/>
          <w:sz w:val="20"/>
          <w:szCs w:val="20"/>
        </w:rPr>
        <w:t>l</w:t>
      </w:r>
      <w:r w:rsidRPr="006447B5">
        <w:rPr>
          <w:rFonts w:cs="Arial"/>
          <w:sz w:val="20"/>
          <w:szCs w:val="20"/>
        </w:rPr>
        <w:t xml:space="preserve">jiva, vještak nalazi i utvrđuje pravno relevantne činjenice, kao "premise minor" za razrješavanje spora stranaka. Sudija u vršenju svoje funkcije, služeći se logičkim silogizmom, utvrđene činjenične </w:t>
      </w:r>
      <w:r w:rsidRPr="00A627A4">
        <w:rPr>
          <w:rFonts w:cs="Arial"/>
          <w:color w:val="000000" w:themeColor="text1"/>
          <w:sz w:val="20"/>
          <w:szCs w:val="20"/>
        </w:rPr>
        <w:t>premise</w:t>
      </w:r>
      <w:r w:rsidR="007E26DA" w:rsidRPr="00A627A4">
        <w:rPr>
          <w:rFonts w:cs="Arial"/>
          <w:color w:val="000000" w:themeColor="text1"/>
          <w:sz w:val="20"/>
          <w:szCs w:val="20"/>
        </w:rPr>
        <w:t xml:space="preserve"> (</w:t>
      </w:r>
      <w:r w:rsidRPr="00A627A4">
        <w:rPr>
          <w:rFonts w:cs="Arial"/>
          <w:color w:val="000000" w:themeColor="text1"/>
          <w:sz w:val="20"/>
          <w:szCs w:val="20"/>
        </w:rPr>
        <w:t>koje je utvrdio (i) vještak</w:t>
      </w:r>
      <w:r w:rsidR="007E26DA" w:rsidRPr="00A627A4">
        <w:rPr>
          <w:rFonts w:cs="Arial"/>
          <w:color w:val="000000" w:themeColor="text1"/>
          <w:sz w:val="20"/>
          <w:szCs w:val="20"/>
        </w:rPr>
        <w:t>)</w:t>
      </w:r>
      <w:r w:rsidRPr="00A627A4">
        <w:rPr>
          <w:rFonts w:cs="Arial"/>
          <w:color w:val="000000" w:themeColor="text1"/>
          <w:sz w:val="20"/>
          <w:szCs w:val="20"/>
        </w:rPr>
        <w:t xml:space="preserve"> </w:t>
      </w:r>
      <w:r w:rsidRPr="006447B5">
        <w:rPr>
          <w:rFonts w:cs="Arial"/>
          <w:sz w:val="20"/>
          <w:szCs w:val="20"/>
        </w:rPr>
        <w:t>supsumira pod pravna pravila kao "premise maior", da bi u konačnici misaonim procesom sudije, izreka presude predstavljala kon</w:t>
      </w:r>
      <w:r w:rsidR="00A02C95">
        <w:rPr>
          <w:rFonts w:cs="Arial"/>
          <w:sz w:val="20"/>
          <w:szCs w:val="20"/>
        </w:rPr>
        <w:t>kretan zaključak</w:t>
      </w:r>
      <w:r w:rsidR="007E26DA">
        <w:rPr>
          <w:rFonts w:cs="Arial"/>
          <w:sz w:val="20"/>
          <w:szCs w:val="20"/>
        </w:rPr>
        <w:t>.</w:t>
      </w:r>
      <w:r w:rsidRPr="006447B5">
        <w:rPr>
          <w:rFonts w:cs="Arial"/>
          <w:sz w:val="20"/>
          <w:szCs w:val="20"/>
        </w:rPr>
        <w:t xml:space="preserve"> </w:t>
      </w:r>
    </w:p>
    <w:p w:rsidR="006447B5" w:rsidRPr="006447B5" w:rsidRDefault="006447B5" w:rsidP="006447B5">
      <w:pPr>
        <w:rPr>
          <w:rFonts w:cs="Arial"/>
          <w:sz w:val="20"/>
          <w:szCs w:val="20"/>
        </w:rPr>
      </w:pPr>
      <w:r w:rsidRPr="006447B5">
        <w:rPr>
          <w:rFonts w:cs="Arial"/>
          <w:sz w:val="20"/>
          <w:szCs w:val="20"/>
        </w:rPr>
        <w:t>Vještak u svom radu primjenjuje naučne metode, pravila ljudskog iskustva i vještina, a sudija u suđenju logičke postulate. Sudija je u ocjeni dokaza slobodan, ali ga ipak vezuju pravila postupka i ljudske logike. Slobodno sudijsko uvjerenje znači diskreciono pravo da se na osnovu poznavanja stvari donose odluke.</w:t>
      </w:r>
    </w:p>
    <w:p w:rsidR="006447B5" w:rsidRPr="006447B5" w:rsidRDefault="006447B5" w:rsidP="006447B5">
      <w:pPr>
        <w:rPr>
          <w:rFonts w:cs="Arial"/>
          <w:sz w:val="20"/>
          <w:szCs w:val="20"/>
        </w:rPr>
      </w:pPr>
      <w:r w:rsidRPr="006447B5">
        <w:rPr>
          <w:rFonts w:cs="Arial"/>
          <w:sz w:val="20"/>
          <w:szCs w:val="20"/>
        </w:rPr>
        <w:t>Da li sud može drugačije utvrditi činjenice od onih na koje ukazuje vještak u svojem nalazu, odnosno da li je sud vezan nalazom i mišljenjem vještaka?</w:t>
      </w:r>
    </w:p>
    <w:p w:rsidR="006447B5" w:rsidRPr="006447B5" w:rsidRDefault="006447B5" w:rsidP="006447B5">
      <w:pPr>
        <w:rPr>
          <w:rFonts w:cs="Arial"/>
          <w:sz w:val="20"/>
          <w:szCs w:val="20"/>
        </w:rPr>
      </w:pPr>
      <w:r w:rsidRPr="006447B5">
        <w:rPr>
          <w:rFonts w:cs="Arial"/>
          <w:sz w:val="20"/>
          <w:szCs w:val="20"/>
        </w:rPr>
        <w:t>U teoriji procesnog prava gotovo da je jedinstveno mišljenje da je sud dužan podvrgnuti nalaz i mišljenje vještaka svojoj ocjeni, kao i svaki drugi provedeni dokaz. U daljnjoj razradi, dolazimo gotovo do apsurdne situacije, tj. da sud može kritički ocijeniti nalaz i mišljenje vještaka, kada mu upravo nedostaje ono neophodno stručno znanje zbog kojeg je određeno vještačenje. Ipak, rješenje tog paradoksa nalazimo u osnovnoj postavci svake pravne države, a to je nezavisnost sudova, jer presuda mora biti u skladu sa shvatanjem suda, koji snosi i odgovornost za svoju odluku.</w:t>
      </w:r>
    </w:p>
    <w:p w:rsidR="006447B5" w:rsidRPr="006447B5" w:rsidRDefault="006447B5" w:rsidP="006447B5">
      <w:pPr>
        <w:rPr>
          <w:rFonts w:cs="Arial"/>
          <w:sz w:val="20"/>
          <w:szCs w:val="20"/>
        </w:rPr>
      </w:pPr>
      <w:r w:rsidRPr="006447B5">
        <w:rPr>
          <w:rFonts w:cs="Arial"/>
          <w:sz w:val="20"/>
          <w:szCs w:val="20"/>
        </w:rPr>
        <w:lastRenderedPageBreak/>
        <w:t>Ujedno to je i odgovor na postavljeno pitanje ovog podnaslova. Međutim, što ako se sud ne složi sa konačnim nalazom i mišljenjem vještaka?</w:t>
      </w:r>
    </w:p>
    <w:p w:rsidR="006447B5" w:rsidRPr="006447B5" w:rsidRDefault="006447B5" w:rsidP="006447B5">
      <w:pPr>
        <w:rPr>
          <w:rFonts w:cs="Arial"/>
          <w:sz w:val="20"/>
          <w:szCs w:val="20"/>
        </w:rPr>
      </w:pPr>
      <w:r w:rsidRPr="006447B5">
        <w:rPr>
          <w:rFonts w:cs="Arial"/>
          <w:sz w:val="20"/>
          <w:szCs w:val="20"/>
        </w:rPr>
        <w:t>Priklanjamo se mišljenju da tada treba smatrati da je vještačenje neuspjelo, odnosno da je činjenica koja se trebala utvrditi vještacima, ostala neutvrđena i da sud treba postupiti prema pravilu o teretu dokazivanja.</w:t>
      </w:r>
      <w:r w:rsidR="00441B45">
        <w:rPr>
          <w:rFonts w:cs="Arial"/>
          <w:sz w:val="20"/>
          <w:szCs w:val="20"/>
        </w:rPr>
        <w:t xml:space="preserve"> </w:t>
      </w:r>
      <w:r w:rsidR="00441B45" w:rsidRPr="0092201F">
        <w:rPr>
          <w:rFonts w:cs="Arial"/>
          <w:b/>
          <w:sz w:val="20"/>
          <w:szCs w:val="20"/>
        </w:rPr>
        <w:t>U praksi bi sudovi trebalo da prihvate</w:t>
      </w:r>
      <w:r w:rsidR="00A06194" w:rsidRPr="0092201F">
        <w:rPr>
          <w:rFonts w:cs="Arial"/>
          <w:b/>
          <w:sz w:val="20"/>
          <w:szCs w:val="20"/>
        </w:rPr>
        <w:t xml:space="preserve"> </w:t>
      </w:r>
      <w:r w:rsidR="00F60A99" w:rsidRPr="0092201F">
        <w:rPr>
          <w:rFonts w:cs="Arial"/>
          <w:b/>
          <w:sz w:val="20"/>
          <w:szCs w:val="20"/>
        </w:rPr>
        <w:t>„</w:t>
      </w:r>
      <w:r w:rsidR="00A06194" w:rsidRPr="0092201F">
        <w:rPr>
          <w:rFonts w:cs="Arial"/>
          <w:b/>
          <w:sz w:val="20"/>
          <w:szCs w:val="20"/>
        </w:rPr>
        <w:t>nalaz</w:t>
      </w:r>
      <w:r w:rsidR="00F60A99" w:rsidRPr="0092201F">
        <w:rPr>
          <w:rFonts w:cs="Arial"/>
          <w:b/>
          <w:sz w:val="20"/>
          <w:szCs w:val="20"/>
        </w:rPr>
        <w:t>“</w:t>
      </w:r>
      <w:r w:rsidR="00A06194" w:rsidRPr="0092201F">
        <w:rPr>
          <w:rFonts w:cs="Arial"/>
          <w:b/>
          <w:sz w:val="20"/>
          <w:szCs w:val="20"/>
        </w:rPr>
        <w:t xml:space="preserve"> vještak</w:t>
      </w:r>
      <w:r w:rsidR="00F578A3" w:rsidRPr="0092201F">
        <w:rPr>
          <w:rFonts w:cs="Arial"/>
          <w:b/>
          <w:sz w:val="20"/>
          <w:szCs w:val="20"/>
        </w:rPr>
        <w:t xml:space="preserve">a </w:t>
      </w:r>
      <w:r w:rsidR="00A06194" w:rsidRPr="0092201F">
        <w:rPr>
          <w:rFonts w:cs="Arial"/>
          <w:b/>
          <w:sz w:val="20"/>
          <w:szCs w:val="20"/>
        </w:rPr>
        <w:t>u pogledu tehničkih</w:t>
      </w:r>
      <w:r w:rsidR="00F60A99" w:rsidRPr="0092201F">
        <w:rPr>
          <w:rFonts w:cs="Arial"/>
          <w:b/>
          <w:sz w:val="20"/>
          <w:szCs w:val="20"/>
        </w:rPr>
        <w:t xml:space="preserve"> parametara (brzine, pravaca, obima oštećenja...) dok bi u pogledu </w:t>
      </w:r>
      <w:r w:rsidR="00F578A3" w:rsidRPr="0092201F">
        <w:rPr>
          <w:rFonts w:cs="Arial"/>
          <w:b/>
          <w:sz w:val="20"/>
          <w:szCs w:val="20"/>
        </w:rPr>
        <w:t>„mišljenja“ sud morao samostalno odlučiti, naročito kada se radi o pravnim pitanjima.</w:t>
      </w:r>
    </w:p>
    <w:p w:rsidR="006447B5" w:rsidRPr="00AE0CB0" w:rsidRDefault="006447B5" w:rsidP="001C0FD0">
      <w:pPr>
        <w:pStyle w:val="ListParagraph"/>
        <w:numPr>
          <w:ilvl w:val="0"/>
          <w:numId w:val="27"/>
        </w:numPr>
        <w:rPr>
          <w:rFonts w:cs="Arial"/>
          <w:b/>
          <w:sz w:val="20"/>
          <w:szCs w:val="20"/>
        </w:rPr>
      </w:pPr>
      <w:r w:rsidRPr="00AE0CB0">
        <w:rPr>
          <w:rFonts w:cs="Arial"/>
          <w:b/>
          <w:sz w:val="20"/>
          <w:szCs w:val="20"/>
        </w:rPr>
        <w:t>NAČIN IZRAŽAVANJA</w:t>
      </w:r>
    </w:p>
    <w:p w:rsidR="006447B5" w:rsidRPr="006447B5" w:rsidRDefault="006447B5" w:rsidP="006447B5">
      <w:pPr>
        <w:rPr>
          <w:rFonts w:cs="Arial"/>
          <w:sz w:val="20"/>
          <w:szCs w:val="20"/>
        </w:rPr>
      </w:pPr>
      <w:r w:rsidRPr="006447B5">
        <w:rPr>
          <w:rFonts w:cs="Arial"/>
          <w:sz w:val="20"/>
          <w:szCs w:val="20"/>
        </w:rPr>
        <w:t>Kako bi sve ovo u praksi trebalo da izgleda prikazaćemo na jednom primjeru mišljenja vještaka i odluke suda:</w:t>
      </w:r>
    </w:p>
    <w:p w:rsidR="006447B5" w:rsidRPr="00F578A3" w:rsidRDefault="006447B5" w:rsidP="006447B5">
      <w:pPr>
        <w:rPr>
          <w:rFonts w:cs="Arial"/>
          <w:b/>
          <w:sz w:val="20"/>
          <w:szCs w:val="20"/>
        </w:rPr>
      </w:pPr>
      <w:r w:rsidRPr="00F578A3">
        <w:rPr>
          <w:rFonts w:cs="Arial"/>
          <w:b/>
          <w:sz w:val="20"/>
          <w:szCs w:val="20"/>
        </w:rPr>
        <w:t>Mišljenje vještaka:</w:t>
      </w:r>
    </w:p>
    <w:p w:rsidR="006447B5" w:rsidRPr="006447B5" w:rsidRDefault="006447B5" w:rsidP="006447B5">
      <w:pPr>
        <w:rPr>
          <w:rFonts w:cs="Arial"/>
          <w:sz w:val="20"/>
          <w:szCs w:val="20"/>
        </w:rPr>
      </w:pPr>
      <w:r w:rsidRPr="006447B5">
        <w:rPr>
          <w:rFonts w:cs="Arial"/>
          <w:sz w:val="20"/>
          <w:szCs w:val="20"/>
        </w:rPr>
        <w:t>"Vozilo A se kretalo putem na kome se nalazi znak 'put sa prvenstvom prolaza' (III-4), brzinom od 36 km/h (10 m/s), dok se vozilo B kretalo asfaltiranim putem koji dolazi sa desne strane, brzinom od 19 km/h (5,27 m/s). Na putu kojim se kretalo vozilo B ispred raskrsnice nije postavljena vertikalna niti horizontalna signalizacija. Sudar vozila se desio u raskrsnici. S obzirom na preglednost i vidljivost, vozači su se mogli uočiti sa udaljenosti od najmanje 80 m. Vozilo B se od trenutka ulaska u raskrsnicu kretalo u vremenu od 1,5 s i prešlo put od 7,9 m. U trenutku kada je vozilo B ušlo u raskrsnicu, vozilo A je bilo 15 m daleko od mjesta kontakta. Zaustavni put za vozilo A iznosi najmanje 19,09 m. Nije postojala tehnička mogućnost da vozač vozila A zaustavi forsiranim kočenjem."</w:t>
      </w:r>
    </w:p>
    <w:p w:rsidR="006447B5" w:rsidRPr="00F578A3" w:rsidRDefault="006447B5" w:rsidP="006447B5">
      <w:pPr>
        <w:rPr>
          <w:rFonts w:cs="Arial"/>
          <w:b/>
          <w:sz w:val="20"/>
          <w:szCs w:val="20"/>
        </w:rPr>
      </w:pPr>
      <w:r w:rsidRPr="00F578A3">
        <w:rPr>
          <w:rFonts w:cs="Arial"/>
          <w:b/>
          <w:sz w:val="20"/>
          <w:szCs w:val="20"/>
        </w:rPr>
        <w:t>Obrazloženje suda:</w:t>
      </w:r>
    </w:p>
    <w:p w:rsidR="006447B5" w:rsidRDefault="006447B5" w:rsidP="006447B5">
      <w:pPr>
        <w:rPr>
          <w:rFonts w:cs="Arial"/>
          <w:sz w:val="20"/>
          <w:szCs w:val="20"/>
        </w:rPr>
      </w:pPr>
      <w:r w:rsidRPr="006447B5">
        <w:rPr>
          <w:rFonts w:cs="Arial"/>
          <w:sz w:val="20"/>
          <w:szCs w:val="20"/>
        </w:rPr>
        <w:t>"Vozač vozila A je postavljenim saobraćajnim znakom 'put sa prvenstvom prolaza' (III-4) bio obaviješten da u predstojećoj raskrsnici ima pravo prvenstva prolaza. Vozač vozila B je nepostojanjem saobraćajne signalizacije imao pravo da očekuje da se radi o nesignalizisanoj raskrsnici i da se na istu imaju primijeniti odredbe člana 49. stav 1. ZoOBS BiH, odnosno da je dužan propustiti vozila koja dolaze sa njegove desne strane. Imajući u vidu da su oba učesnika bila obaviještena da u predmetnoj raskrsnici puta imaju prednost prolaska, ne postoji uzročna veza između radnji vozača i nastanka nezgode. Uzrok nezgode je nepravilno postavljena saobraćajna signalizacija i odgovornost za nastanak nezgode se može pripisati upravljaču puta koji je bio dužan da pravilno signalizuje raskrsnicu, odnosno da na sporedni put postavi znak izričite naredbe II-1 'nailazak na put sa prvenstvom prolaza' ili II-2 'obavezno zaustavljanje'. Vozač vozila A nije imao doprinosa niti u posljedicama nezgode jer se kretao dopuštenom brzinom i nalazio se na takvoj udaljenosti da nije mogao izbjeći sudar forsirnim kočenjem."</w:t>
      </w:r>
    </w:p>
    <w:p w:rsidR="00FD411B" w:rsidRDefault="00FD411B" w:rsidP="006447B5">
      <w:pPr>
        <w:rPr>
          <w:rFonts w:cs="Arial"/>
          <w:sz w:val="20"/>
          <w:szCs w:val="20"/>
        </w:rPr>
      </w:pPr>
      <w:r>
        <w:rPr>
          <w:rFonts w:cs="Arial"/>
          <w:sz w:val="20"/>
          <w:szCs w:val="20"/>
        </w:rPr>
        <w:t>Iz prethodnog vidimo kako bi vještak trebao opisivati</w:t>
      </w:r>
      <w:r w:rsidR="00CB73DF">
        <w:rPr>
          <w:rFonts w:cs="Arial"/>
          <w:sz w:val="20"/>
          <w:szCs w:val="20"/>
        </w:rPr>
        <w:t xml:space="preserve"> utvrđene činjenice u svom mišljenju, a  kako bi sud takav opis trebao cijeniti o navestii u obrazloženju presude.</w:t>
      </w:r>
    </w:p>
    <w:p w:rsidR="00FB5ED1" w:rsidRPr="00E21096" w:rsidRDefault="00E21096" w:rsidP="00FB5ED1">
      <w:pPr>
        <w:pStyle w:val="ListParagraph"/>
        <w:numPr>
          <w:ilvl w:val="0"/>
          <w:numId w:val="27"/>
        </w:numPr>
        <w:rPr>
          <w:rFonts w:cs="Arial"/>
          <w:b/>
          <w:sz w:val="20"/>
          <w:szCs w:val="20"/>
        </w:rPr>
      </w:pPr>
      <w:r w:rsidRPr="00E21096">
        <w:rPr>
          <w:rFonts w:cs="Arial"/>
          <w:b/>
          <w:sz w:val="20"/>
          <w:szCs w:val="20"/>
        </w:rPr>
        <w:t xml:space="preserve">PRIMJER </w:t>
      </w:r>
      <w:r w:rsidR="0019588C">
        <w:rPr>
          <w:rFonts w:cs="Arial"/>
          <w:b/>
          <w:sz w:val="20"/>
          <w:szCs w:val="20"/>
        </w:rPr>
        <w:t xml:space="preserve">IZRAŽAVANJA </w:t>
      </w:r>
      <w:r w:rsidR="00DE3A5F">
        <w:rPr>
          <w:rFonts w:cs="Arial"/>
          <w:b/>
          <w:sz w:val="20"/>
          <w:szCs w:val="20"/>
        </w:rPr>
        <w:t xml:space="preserve">U SLUČAJU </w:t>
      </w:r>
      <w:r w:rsidRPr="00E21096">
        <w:rPr>
          <w:rFonts w:cs="Arial"/>
          <w:b/>
          <w:sz w:val="20"/>
          <w:szCs w:val="20"/>
        </w:rPr>
        <w:t>KVALIFIKOVANJE BRZINE KRETANJA KOJA JE VEĆA OD NAJVEĆE DOPUŠTENE BRZINE</w:t>
      </w:r>
    </w:p>
    <w:p w:rsidR="00E21096" w:rsidRPr="00E21096" w:rsidRDefault="00E21096" w:rsidP="00E21096">
      <w:pPr>
        <w:rPr>
          <w:rFonts w:cs="Arial"/>
          <w:sz w:val="20"/>
          <w:szCs w:val="20"/>
        </w:rPr>
      </w:pPr>
      <w:r w:rsidRPr="00E21096">
        <w:rPr>
          <w:rFonts w:cs="Arial"/>
          <w:sz w:val="20"/>
          <w:szCs w:val="20"/>
        </w:rPr>
        <w:t>Na primjeru brzine kretanja vozila biće objašnjeno kako vještak treba analizirati da li je prekoračenje brzine uzrok nezgode, doprinos u nastanku ili doprinos u posljedici.</w:t>
      </w:r>
    </w:p>
    <w:p w:rsidR="00E21096" w:rsidRPr="00E21096" w:rsidRDefault="00E21096" w:rsidP="00E21096">
      <w:pPr>
        <w:rPr>
          <w:rFonts w:cs="Arial"/>
          <w:sz w:val="20"/>
          <w:szCs w:val="20"/>
        </w:rPr>
      </w:pPr>
      <w:r w:rsidRPr="00E21096">
        <w:rPr>
          <w:rFonts w:cs="Arial"/>
          <w:sz w:val="20"/>
          <w:szCs w:val="20"/>
        </w:rPr>
        <w:t>Prilikom vršenja vremensko-prostorne analize saobraćajne nezgode vještak će primarno utvrditi sudarnu brzinu vozila, a zatim će utvrditi gdje su se vozila nalazila u trenutku nastanka opasne situacije, odnosno u trenutku kada postoji mogućnost da se putanje učesnika sijeku u istom trenutku. Ukoliko utvrdi da se jedno od vozila kretalo brzinom većom od najveće dozvoljene brzine, izvršiće analizu na koji način je brzina uticala na nastanak nezgode, tako što će umjesto posjedovane brzine vozila koristiti najveću dozvoljnu brzinu vozila za predmetnu dionicu puta. Dakle, vještak će uporediti konkretno ponašanje učesnika u nezgodi sa  ponašenjem koje je pravilno, dopušteno i uobičajeno po redovnom toku stvari.</w:t>
      </w:r>
    </w:p>
    <w:p w:rsidR="00E21096" w:rsidRPr="00E21096" w:rsidRDefault="00E21096" w:rsidP="00E21096">
      <w:pPr>
        <w:rPr>
          <w:rFonts w:cs="Arial"/>
          <w:sz w:val="20"/>
          <w:szCs w:val="20"/>
        </w:rPr>
      </w:pPr>
      <w:r w:rsidRPr="00E21096">
        <w:rPr>
          <w:rFonts w:cs="Arial"/>
          <w:sz w:val="20"/>
          <w:szCs w:val="20"/>
        </w:rPr>
        <w:t>U zavisnosti od rezultata analize vještak može doći do sljedećih zaključka</w:t>
      </w:r>
      <w:r w:rsidR="005A4900">
        <w:rPr>
          <w:rStyle w:val="FootnoteReference"/>
          <w:rFonts w:cs="Arial"/>
        </w:rPr>
        <w:footnoteReference w:id="4"/>
      </w:r>
      <w:r w:rsidR="00312EF8">
        <w:rPr>
          <w:rFonts w:cs="Arial"/>
          <w:sz w:val="20"/>
          <w:szCs w:val="20"/>
        </w:rPr>
        <w:t xml:space="preserve"> koje treba iznijeti u svom </w:t>
      </w:r>
      <w:r w:rsidR="00312EF8">
        <w:rPr>
          <w:rFonts w:cs="Arial"/>
          <w:sz w:val="20"/>
          <w:szCs w:val="20"/>
        </w:rPr>
        <w:lastRenderedPageBreak/>
        <w:t>mišljenju</w:t>
      </w:r>
      <w:r w:rsidRPr="00E21096">
        <w:rPr>
          <w:rFonts w:cs="Arial"/>
          <w:sz w:val="20"/>
          <w:szCs w:val="20"/>
        </w:rPr>
        <w:t>:</w:t>
      </w:r>
    </w:p>
    <w:p w:rsidR="004F3838" w:rsidRDefault="00E21096" w:rsidP="004F3838">
      <w:pPr>
        <w:spacing w:after="0"/>
        <w:rPr>
          <w:rFonts w:cs="Arial"/>
          <w:sz w:val="20"/>
          <w:szCs w:val="20"/>
        </w:rPr>
      </w:pPr>
      <w:r w:rsidRPr="00E21096">
        <w:rPr>
          <w:rFonts w:cs="Arial"/>
          <w:sz w:val="20"/>
          <w:szCs w:val="20"/>
        </w:rPr>
        <w:t>- brzina je uzrok nezgode, ako pri najvećoj dozvoljenoj brzini kretanja, bez reakcije vozača ne bi došlo do konflikta sa drugim vozilom, odnosno ako bi drugo vozilo završilo svoju radnju bez dolaska u konfliktnu zonu;</w:t>
      </w:r>
    </w:p>
    <w:p w:rsidR="00E21096" w:rsidRPr="00E21096" w:rsidRDefault="00E21096" w:rsidP="004F3838">
      <w:pPr>
        <w:spacing w:after="0"/>
        <w:rPr>
          <w:rFonts w:cs="Arial"/>
          <w:sz w:val="20"/>
          <w:szCs w:val="20"/>
        </w:rPr>
      </w:pPr>
      <w:r w:rsidRPr="00E21096">
        <w:rPr>
          <w:rFonts w:cs="Arial"/>
          <w:sz w:val="20"/>
          <w:szCs w:val="20"/>
        </w:rPr>
        <w:t>- brzina je doprinos nastanku nezgode, ako bi pri najvećoj dozvoljenoj brzini kretanja vozač mogao kočenjem izbjeći nastanak nezgode (sud će cijeniti doprinos prema svim okolnostima slučaja);</w:t>
      </w:r>
    </w:p>
    <w:p w:rsidR="00E21096" w:rsidRDefault="00E21096" w:rsidP="004F3838">
      <w:pPr>
        <w:spacing w:after="0"/>
        <w:rPr>
          <w:rFonts w:cs="Arial"/>
          <w:sz w:val="20"/>
          <w:szCs w:val="20"/>
        </w:rPr>
      </w:pPr>
      <w:r w:rsidRPr="00E21096">
        <w:rPr>
          <w:rFonts w:cs="Arial"/>
          <w:sz w:val="20"/>
          <w:szCs w:val="20"/>
        </w:rPr>
        <w:t>- brzina je doprinos u visini posljedica, ako pri najvećoj dozvoljenoj brzini kretanja vozač ne bi mogao kočenjem izbjeći nezgodu, a nastupi veća šteta nego što bi nastupila pri kretanju najvećom dozvoljenom brzinom;</w:t>
      </w:r>
    </w:p>
    <w:p w:rsidR="004F3838" w:rsidRPr="00E21096" w:rsidRDefault="004F3838" w:rsidP="004F3838">
      <w:pPr>
        <w:spacing w:after="0"/>
        <w:rPr>
          <w:rFonts w:cs="Arial"/>
          <w:sz w:val="20"/>
          <w:szCs w:val="20"/>
        </w:rPr>
      </w:pPr>
    </w:p>
    <w:p w:rsidR="006447B5" w:rsidRDefault="00297AF0" w:rsidP="006447B5">
      <w:pPr>
        <w:rPr>
          <w:rFonts w:cs="Arial"/>
          <w:sz w:val="20"/>
          <w:szCs w:val="20"/>
        </w:rPr>
      </w:pPr>
      <w:r>
        <w:rPr>
          <w:rFonts w:cs="Arial"/>
          <w:sz w:val="20"/>
          <w:szCs w:val="20"/>
        </w:rPr>
        <w:t>Pravilno kvalifikovanje brzine kretanja učesnika je neophodno da bi se donijela ispravna odluka suda.</w:t>
      </w:r>
    </w:p>
    <w:p w:rsidR="006447B5" w:rsidRPr="00FB5ED1" w:rsidRDefault="006447B5" w:rsidP="001C0FD0">
      <w:pPr>
        <w:pStyle w:val="ListParagraph"/>
        <w:numPr>
          <w:ilvl w:val="0"/>
          <w:numId w:val="27"/>
        </w:numPr>
        <w:rPr>
          <w:rFonts w:cs="Arial"/>
          <w:b/>
          <w:sz w:val="20"/>
          <w:szCs w:val="20"/>
        </w:rPr>
      </w:pPr>
      <w:r w:rsidRPr="00FB5ED1">
        <w:rPr>
          <w:rFonts w:cs="Arial"/>
          <w:b/>
          <w:sz w:val="20"/>
          <w:szCs w:val="20"/>
        </w:rPr>
        <w:t>KONTROLA RADA VJEŠTAKA</w:t>
      </w:r>
    </w:p>
    <w:p w:rsidR="006447B5" w:rsidRPr="006447B5" w:rsidRDefault="006447B5" w:rsidP="006447B5">
      <w:pPr>
        <w:rPr>
          <w:rFonts w:cs="Arial"/>
          <w:sz w:val="20"/>
          <w:szCs w:val="20"/>
        </w:rPr>
      </w:pPr>
      <w:r w:rsidRPr="006447B5">
        <w:rPr>
          <w:rFonts w:cs="Arial"/>
          <w:sz w:val="20"/>
          <w:szCs w:val="20"/>
        </w:rPr>
        <w:t>Zakonima o vještacima FBiH i RS predviđeno je da primjedbe na rad vještaka mogu da podnesu sudije, tužioci, stranke i punomoćnici stranaka, državni organi, republički organi uprave, kao i druge institucije, odnosno ustanove. Primjedbe se podnose resornom ministru. Primjedbe, kao i izjašnjenje vještaka, ministar dostavlja za to formiranoj komisiji, radi razmatranja i predlaganja odgovarajućih mjera. Komisiju čine dva člana iz reda stručnjaka iz oblasti za koju se imenuje vještak i jedan član komisije u ime Ministarstva.</w:t>
      </w:r>
    </w:p>
    <w:p w:rsidR="006447B5" w:rsidRPr="006447B5" w:rsidRDefault="006447B5" w:rsidP="006447B5">
      <w:pPr>
        <w:rPr>
          <w:rFonts w:cs="Arial"/>
          <w:sz w:val="20"/>
          <w:szCs w:val="20"/>
        </w:rPr>
      </w:pPr>
      <w:r w:rsidRPr="006447B5">
        <w:rPr>
          <w:rFonts w:cs="Arial"/>
          <w:sz w:val="20"/>
          <w:szCs w:val="20"/>
        </w:rPr>
        <w:t>Ov</w:t>
      </w:r>
      <w:r w:rsidR="00A4310C">
        <w:rPr>
          <w:rFonts w:cs="Arial"/>
          <w:sz w:val="20"/>
          <w:szCs w:val="20"/>
        </w:rPr>
        <w:t>a</w:t>
      </w:r>
      <w:r w:rsidRPr="006447B5">
        <w:rPr>
          <w:rFonts w:cs="Arial"/>
          <w:sz w:val="20"/>
          <w:szCs w:val="20"/>
        </w:rPr>
        <w:t xml:space="preserve"> "novin</w:t>
      </w:r>
      <w:r w:rsidR="00A4310C">
        <w:rPr>
          <w:rFonts w:cs="Arial"/>
          <w:sz w:val="20"/>
          <w:szCs w:val="20"/>
        </w:rPr>
        <w:t>a</w:t>
      </w:r>
      <w:r w:rsidRPr="006447B5">
        <w:rPr>
          <w:rFonts w:cs="Arial"/>
          <w:sz w:val="20"/>
          <w:szCs w:val="20"/>
        </w:rPr>
        <w:t>" u našem zakonu nažalost nije iskorištena na pravi način da se uspostavi kontrola i jednoobraznost u vještačenjima, da se vještaci koji svoj posao rade čestito i u skladu sa vještinom, strukom i naukom, razdvoje od vještaka koji pišu naručena vještačenja u skladu sa željama stranaka i nalozima punomoćnika.</w:t>
      </w:r>
    </w:p>
    <w:p w:rsidR="006447B5" w:rsidRPr="006447B5" w:rsidRDefault="006447B5" w:rsidP="006447B5">
      <w:pPr>
        <w:rPr>
          <w:rFonts w:cs="Arial"/>
          <w:sz w:val="20"/>
          <w:szCs w:val="20"/>
        </w:rPr>
      </w:pPr>
      <w:r w:rsidRPr="006447B5">
        <w:rPr>
          <w:rFonts w:cs="Arial"/>
          <w:sz w:val="20"/>
          <w:szCs w:val="20"/>
        </w:rPr>
        <w:t>Drugi način kontrole rada vještaka jeste podnošenje krivičnih prijava nadležnim tužilaštvima u slučaju sumnje da je vještak dao lažan iskaz. Iako je jedan od razloga za ponavljanje postupka činjenica da je presuda zasnovana na lažnom iskazu vještaka, u praksi tužilaštva uopšte ne žele da procesuiraju vještake uz obrazloženje da je sud takav nalaz već prihvatio i da se on može pobijati jedino žalbom.</w:t>
      </w:r>
    </w:p>
    <w:p w:rsidR="005112E5" w:rsidRDefault="006447B5" w:rsidP="006447B5">
      <w:pPr>
        <w:rPr>
          <w:rFonts w:cs="Arial"/>
          <w:sz w:val="20"/>
          <w:szCs w:val="20"/>
        </w:rPr>
      </w:pPr>
      <w:r w:rsidRPr="006447B5">
        <w:rPr>
          <w:rFonts w:cs="Arial"/>
          <w:sz w:val="20"/>
          <w:szCs w:val="20"/>
        </w:rPr>
        <w:t>Slično tome, u jedinom slučaju kada je Komisija Ministarstva pravde RS izrekla javnu opomenu vještaku koji je sačinio nalaz suprotan pravilima struke, Vrhovni sud je u daljem postupku utvrdio da jedino postupajući sudija ima pravo da cijeni nalaz i mišljenje vještaka, a da je ovaj opasan presedan da Komisija Ministarstva nema ovlaštenja cijeniti nalaz vještaka, čini citirane odredbe Zakona o vještacima potpuno neupotrebljivim i jedna ideja zakonodavca je ostala prazno slovo na papiru.</w:t>
      </w:r>
    </w:p>
    <w:p w:rsidR="001C0FD0" w:rsidRPr="0092099F" w:rsidRDefault="0092099F" w:rsidP="001C0FD0">
      <w:pPr>
        <w:pStyle w:val="ListParagraph"/>
        <w:numPr>
          <w:ilvl w:val="0"/>
          <w:numId w:val="27"/>
        </w:numPr>
        <w:rPr>
          <w:rFonts w:cs="Arial"/>
          <w:b/>
          <w:sz w:val="20"/>
          <w:szCs w:val="20"/>
        </w:rPr>
      </w:pPr>
      <w:r w:rsidRPr="0092099F">
        <w:rPr>
          <w:rFonts w:cs="Arial"/>
          <w:b/>
          <w:sz w:val="20"/>
          <w:szCs w:val="20"/>
        </w:rPr>
        <w:t>ZAKLJUČCI</w:t>
      </w:r>
    </w:p>
    <w:p w:rsidR="00234C55" w:rsidRPr="00234C55" w:rsidRDefault="00234C55" w:rsidP="00234C55">
      <w:pPr>
        <w:rPr>
          <w:rFonts w:cs="Arial"/>
          <w:sz w:val="20"/>
          <w:szCs w:val="20"/>
        </w:rPr>
      </w:pPr>
      <w:r w:rsidRPr="00234C55">
        <w:rPr>
          <w:rFonts w:cs="Arial"/>
          <w:sz w:val="20"/>
          <w:szCs w:val="20"/>
        </w:rPr>
        <w:t>Vještačenje u krivičnom postupku, naročito saobraćajno-tehničko vještačenje, ima neprocjen</w:t>
      </w:r>
      <w:r w:rsidR="00ED7CB7">
        <w:rPr>
          <w:rFonts w:cs="Arial"/>
          <w:sz w:val="20"/>
          <w:szCs w:val="20"/>
        </w:rPr>
        <w:t>l</w:t>
      </w:r>
      <w:r w:rsidRPr="00234C55">
        <w:rPr>
          <w:rFonts w:cs="Arial"/>
          <w:sz w:val="20"/>
          <w:szCs w:val="20"/>
        </w:rPr>
        <w:t>jiv značaj. Kao dokazno sredstvo, vještačenje se temelji na stručnom znanju i vještinama koje sud ne posjeduje. Uloga vještaka je da pruži sudu nalaz i mišljenje zasnovane na naučnim metodama i pravilima struke. Važno je da vještačenje bude oslobođeno subjektivnosti i pristra</w:t>
      </w:r>
      <w:r w:rsidR="00841B3B">
        <w:rPr>
          <w:rFonts w:cs="Arial"/>
          <w:sz w:val="20"/>
          <w:szCs w:val="20"/>
        </w:rPr>
        <w:t>s</w:t>
      </w:r>
      <w:r w:rsidRPr="00234C55">
        <w:rPr>
          <w:rFonts w:cs="Arial"/>
          <w:sz w:val="20"/>
          <w:szCs w:val="20"/>
        </w:rPr>
        <w:t>nosti, te da se zasniva na činjenicama koje su utvrđene naučnim putem.</w:t>
      </w:r>
    </w:p>
    <w:p w:rsidR="00234C55" w:rsidRPr="00234C55" w:rsidRDefault="00234C55" w:rsidP="00234C55">
      <w:pPr>
        <w:rPr>
          <w:rFonts w:cs="Arial"/>
          <w:sz w:val="20"/>
          <w:szCs w:val="20"/>
        </w:rPr>
      </w:pPr>
      <w:r w:rsidRPr="00234C55">
        <w:rPr>
          <w:rFonts w:cs="Arial"/>
          <w:sz w:val="20"/>
          <w:szCs w:val="20"/>
        </w:rPr>
        <w:t>Uloga vještaka je ključna u utvrđivanju činjeničnog stanja koje sud koristi za donošenje odluke. Međutim, sud nije vezan nalazom i mišljenjem vještaka, već mora te dokaze kritički ocijeniti. Iako sud može ocijeniti nalaz vještaka, često mu nedostaje stručno znanje koje je razlog za određivanje vještačenja, što predstavlja izazov u praksi. Stoga je važno da vještačenje bude jasno, logično i dokumentovano, kako bi sud mogao pravilno ocijeniti njegovu vrijednost.</w:t>
      </w:r>
    </w:p>
    <w:p w:rsidR="00234C55" w:rsidRPr="00234C55" w:rsidRDefault="00234C55" w:rsidP="00234C55">
      <w:pPr>
        <w:rPr>
          <w:rFonts w:cs="Arial"/>
          <w:sz w:val="20"/>
          <w:szCs w:val="20"/>
        </w:rPr>
      </w:pPr>
      <w:r w:rsidRPr="00234C55">
        <w:rPr>
          <w:rFonts w:cs="Arial"/>
          <w:sz w:val="20"/>
          <w:szCs w:val="20"/>
        </w:rPr>
        <w:t>Kontrola rada vještaka je ključna za osiguranje kvaliteta vještačenja. Zakonima o vještacima predviđena je mogućnost podnošenja primjedbi na rad vještaka, ali praksa pokazuje da postoji prostor za unapređenje ovog sistema kontrole. Neophodno je da se uspostavi efektivna kontrola i jednoobraznost u vještačenjima, kako bi se vještaci koji svoj posao obavljaju stručno i čestito razlikovali od onih koji to ne čine.</w:t>
      </w:r>
    </w:p>
    <w:p w:rsidR="00234C55" w:rsidRPr="00234C55" w:rsidRDefault="00234C55" w:rsidP="00234C55">
      <w:pPr>
        <w:rPr>
          <w:rFonts w:cs="Arial"/>
          <w:sz w:val="20"/>
          <w:szCs w:val="20"/>
        </w:rPr>
      </w:pPr>
      <w:r w:rsidRPr="00234C55">
        <w:rPr>
          <w:rFonts w:cs="Arial"/>
          <w:sz w:val="20"/>
          <w:szCs w:val="20"/>
        </w:rPr>
        <w:t xml:space="preserve">Profesionalizacija vještaka, obaveza redovne edukacije i izmjena zakonskih propisa su ključni koraci ka unapređenju sistema vještačenja. Vještaci moraju biti svjesni svoje velike odgovornosti, jer sudovi </w:t>
      </w:r>
      <w:r w:rsidRPr="00234C55">
        <w:rPr>
          <w:rFonts w:cs="Arial"/>
          <w:sz w:val="20"/>
          <w:szCs w:val="20"/>
        </w:rPr>
        <w:lastRenderedPageBreak/>
        <w:t>rijetko idu protivno njihovim nalazima i mišljenjima. Praksa sudova pokazuje da odluke u krivičnim predmetima, gdje se često čuju mišljenja više vještaka, mogu biti kvalitetnije obrazložene od odluka u građanskim sporovima.</w:t>
      </w:r>
    </w:p>
    <w:p w:rsidR="001C0FD0" w:rsidRDefault="00234C55" w:rsidP="00234C55">
      <w:pPr>
        <w:rPr>
          <w:rFonts w:cs="Arial"/>
          <w:sz w:val="20"/>
          <w:szCs w:val="20"/>
        </w:rPr>
      </w:pPr>
      <w:r w:rsidRPr="00234C55">
        <w:rPr>
          <w:rFonts w:cs="Arial"/>
          <w:sz w:val="20"/>
          <w:szCs w:val="20"/>
        </w:rPr>
        <w:t>U konačnici, vještačenje bi trebalo biti egzaktan, empirijski rad zasnovan na nauci, struci i vještini, oslobođen subjektivnosti i pristra</w:t>
      </w:r>
      <w:r w:rsidR="00A0008B">
        <w:rPr>
          <w:rFonts w:cs="Arial"/>
          <w:sz w:val="20"/>
          <w:szCs w:val="20"/>
        </w:rPr>
        <w:t>s</w:t>
      </w:r>
      <w:r w:rsidRPr="00234C55">
        <w:rPr>
          <w:rFonts w:cs="Arial"/>
          <w:sz w:val="20"/>
          <w:szCs w:val="20"/>
        </w:rPr>
        <w:t>nosti. Odluke sudova moraju biti zasnovane na pravilnoj ocjeni svih dokaza, uključujući i nalaze i mišljenja vještaka, kako bi se osigurala pravičnost i zakonitost postupka.</w:t>
      </w: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6C7314" w:rsidRDefault="006C7314" w:rsidP="00234C55">
      <w:pPr>
        <w:rPr>
          <w:rFonts w:cs="Arial"/>
          <w:sz w:val="20"/>
          <w:szCs w:val="20"/>
        </w:rPr>
      </w:pPr>
    </w:p>
    <w:p w:rsidR="005044FE" w:rsidRDefault="005044FE" w:rsidP="00234C55">
      <w:pPr>
        <w:rPr>
          <w:rFonts w:cs="Arial"/>
          <w:sz w:val="20"/>
          <w:szCs w:val="20"/>
        </w:rPr>
      </w:pPr>
    </w:p>
    <w:p w:rsidR="005044FE" w:rsidRDefault="005044FE" w:rsidP="00234C55">
      <w:pPr>
        <w:rPr>
          <w:rFonts w:cs="Arial"/>
          <w:sz w:val="20"/>
          <w:szCs w:val="20"/>
        </w:rPr>
      </w:pPr>
    </w:p>
    <w:p w:rsidR="005044FE" w:rsidRDefault="005044FE" w:rsidP="00234C55">
      <w:pPr>
        <w:rPr>
          <w:rFonts w:cs="Arial"/>
          <w:sz w:val="20"/>
          <w:szCs w:val="20"/>
        </w:rPr>
      </w:pPr>
    </w:p>
    <w:p w:rsidR="005044FE" w:rsidRDefault="005044FE" w:rsidP="00234C55">
      <w:pPr>
        <w:rPr>
          <w:rFonts w:cs="Arial"/>
          <w:sz w:val="20"/>
          <w:szCs w:val="20"/>
        </w:rPr>
      </w:pPr>
    </w:p>
    <w:p w:rsidR="005044FE" w:rsidRDefault="005044FE" w:rsidP="00234C55">
      <w:pPr>
        <w:rPr>
          <w:rFonts w:cs="Arial"/>
          <w:sz w:val="20"/>
          <w:szCs w:val="20"/>
        </w:rPr>
      </w:pPr>
    </w:p>
    <w:p w:rsidR="009A24E5" w:rsidRPr="009A24E5" w:rsidRDefault="009A24E5" w:rsidP="009A24E5">
      <w:pPr>
        <w:pStyle w:val="ListParagraph"/>
        <w:numPr>
          <w:ilvl w:val="0"/>
          <w:numId w:val="27"/>
        </w:numPr>
        <w:rPr>
          <w:rFonts w:cs="Arial"/>
          <w:sz w:val="20"/>
          <w:szCs w:val="20"/>
        </w:rPr>
      </w:pPr>
      <w:r>
        <w:rPr>
          <w:rFonts w:cs="Arial"/>
          <w:b/>
          <w:sz w:val="20"/>
          <w:szCs w:val="20"/>
        </w:rPr>
        <w:t>LITERATURA</w:t>
      </w:r>
    </w:p>
    <w:bookmarkEnd w:id="0"/>
    <w:p w:rsidR="001052F1" w:rsidRPr="001052F1" w:rsidRDefault="001052F1" w:rsidP="001052F1">
      <w:pPr>
        <w:rPr>
          <w:rFonts w:cs="Arial"/>
          <w:sz w:val="20"/>
          <w:szCs w:val="20"/>
        </w:rPr>
      </w:pPr>
      <w:r w:rsidRPr="001052F1">
        <w:rPr>
          <w:rFonts w:cs="Arial"/>
          <w:sz w:val="20"/>
          <w:szCs w:val="20"/>
        </w:rPr>
        <w:t>[1] Vujanić M. Definisanje metodologije izrade vremensko-prostorne analize saobraćajne nezgode tipa pješak-automobil sa posebnim osvrtom na nezgode ovog tipa u uslovima slobodnog i normalnog toka u zoni stajališta JMP, magistarski rad, 1983.g.</w:t>
      </w:r>
    </w:p>
    <w:p w:rsidR="001052F1" w:rsidRPr="001052F1" w:rsidRDefault="001052F1" w:rsidP="001052F1">
      <w:pPr>
        <w:rPr>
          <w:rFonts w:cs="Arial"/>
          <w:sz w:val="20"/>
          <w:szCs w:val="20"/>
        </w:rPr>
      </w:pPr>
      <w:r w:rsidRPr="001052F1">
        <w:rPr>
          <w:rFonts w:cs="Arial"/>
          <w:sz w:val="20"/>
          <w:szCs w:val="20"/>
        </w:rPr>
        <w:t>[2] Vujanić M. i drugi Priručnik za saobraćajno tehničko vještačenje i procjenu štete na vozilima, Banja Luka, 1998. g.</w:t>
      </w:r>
    </w:p>
    <w:p w:rsidR="001052F1" w:rsidRPr="001052F1" w:rsidRDefault="001052F1" w:rsidP="001052F1">
      <w:pPr>
        <w:rPr>
          <w:rFonts w:cs="Arial"/>
          <w:sz w:val="20"/>
          <w:szCs w:val="20"/>
        </w:rPr>
      </w:pPr>
      <w:r w:rsidRPr="001052F1">
        <w:rPr>
          <w:rFonts w:cs="Arial"/>
          <w:sz w:val="20"/>
          <w:szCs w:val="20"/>
        </w:rPr>
        <w:t>[3] Vujanić, M. i Lipovac, K.: '' Sistem kazni vozača'', Sistem obuke vozača, Zbornik radova,</w:t>
      </w:r>
    </w:p>
    <w:p w:rsidR="001052F1" w:rsidRPr="001052F1" w:rsidRDefault="001052F1" w:rsidP="001052F1">
      <w:pPr>
        <w:rPr>
          <w:rFonts w:cs="Arial"/>
          <w:sz w:val="20"/>
          <w:szCs w:val="20"/>
        </w:rPr>
      </w:pPr>
      <w:r w:rsidRPr="001052F1">
        <w:rPr>
          <w:rFonts w:cs="Arial"/>
          <w:sz w:val="20"/>
          <w:szCs w:val="20"/>
        </w:rPr>
        <w:t xml:space="preserve">[4] </w:t>
      </w:r>
      <w:r>
        <w:rPr>
          <w:rFonts w:cs="Arial"/>
          <w:sz w:val="20"/>
          <w:szCs w:val="20"/>
        </w:rPr>
        <w:t xml:space="preserve">Zbirka krivičnih propisa FBiH, </w:t>
      </w:r>
      <w:r w:rsidR="006E358D">
        <w:rPr>
          <w:rFonts w:cs="Arial"/>
          <w:sz w:val="20"/>
          <w:szCs w:val="20"/>
        </w:rPr>
        <w:t xml:space="preserve">JP NIO Službeni list BiH, </w:t>
      </w:r>
      <w:r>
        <w:rPr>
          <w:rFonts w:cs="Arial"/>
          <w:sz w:val="20"/>
          <w:szCs w:val="20"/>
        </w:rPr>
        <w:t>Sarajevo 1998</w:t>
      </w:r>
      <w:r w:rsidR="006E358D">
        <w:rPr>
          <w:rFonts w:cs="Arial"/>
          <w:sz w:val="20"/>
          <w:szCs w:val="20"/>
        </w:rPr>
        <w:t>.</w:t>
      </w:r>
    </w:p>
    <w:p w:rsidR="001052F1" w:rsidRPr="001052F1" w:rsidRDefault="001052F1" w:rsidP="001052F1">
      <w:pPr>
        <w:rPr>
          <w:rFonts w:cs="Arial"/>
          <w:sz w:val="20"/>
          <w:szCs w:val="20"/>
        </w:rPr>
      </w:pPr>
      <w:r w:rsidRPr="001052F1">
        <w:rPr>
          <w:rFonts w:cs="Arial"/>
          <w:sz w:val="20"/>
          <w:szCs w:val="20"/>
        </w:rPr>
        <w:t>[5] Zakon o osnovama bezbjednosti saobraćaja na putevima BiH, 2007. g.</w:t>
      </w:r>
    </w:p>
    <w:p w:rsidR="001052F1" w:rsidRPr="001052F1" w:rsidRDefault="001052F1" w:rsidP="001052F1">
      <w:pPr>
        <w:rPr>
          <w:rFonts w:cs="Arial"/>
          <w:sz w:val="20"/>
          <w:szCs w:val="20"/>
        </w:rPr>
      </w:pPr>
      <w:r w:rsidRPr="001052F1">
        <w:rPr>
          <w:rFonts w:cs="Arial"/>
          <w:sz w:val="20"/>
          <w:szCs w:val="20"/>
        </w:rPr>
        <w:t>[6] Komentar zakona o obligacionim odnosima (član 158), dr Boris Vizner, Zagreb 1978.</w:t>
      </w:r>
    </w:p>
    <w:p w:rsidR="001052F1" w:rsidRPr="001052F1" w:rsidRDefault="001052F1" w:rsidP="001052F1">
      <w:pPr>
        <w:rPr>
          <w:rFonts w:cs="Arial"/>
          <w:sz w:val="20"/>
          <w:szCs w:val="20"/>
        </w:rPr>
      </w:pPr>
      <w:r w:rsidRPr="001052F1">
        <w:rPr>
          <w:rFonts w:cs="Arial"/>
          <w:sz w:val="20"/>
          <w:szCs w:val="20"/>
        </w:rPr>
        <w:t>[7] Sudar vozila i pješaka – nastanak opasne situacije, Jovičić V.; Đurić T.; Ristikić Z.; Zbornik radova, Simopozijum Banja Luka 2018.</w:t>
      </w:r>
    </w:p>
    <w:p w:rsidR="001052F1" w:rsidRPr="001052F1" w:rsidRDefault="001052F1" w:rsidP="001052F1">
      <w:pPr>
        <w:rPr>
          <w:rFonts w:cs="Arial"/>
          <w:sz w:val="20"/>
          <w:szCs w:val="20"/>
        </w:rPr>
      </w:pPr>
      <w:r w:rsidRPr="001052F1">
        <w:rPr>
          <w:rFonts w:cs="Arial"/>
          <w:sz w:val="20"/>
          <w:szCs w:val="20"/>
        </w:rPr>
        <w:t>[8] Vujanić M. Definisanje metodologije izrade vremensko-prostorne analize saobraćajne nezgode tipa pješak-automobil sa posebnim osvrtom na nezgode ovog tipa u uslovima slobodnog i normalnog toka u zoni stajališta JMP, magistarski rad, 1983.g.</w:t>
      </w:r>
    </w:p>
    <w:p w:rsidR="001052F1" w:rsidRPr="001052F1" w:rsidRDefault="001052F1" w:rsidP="001052F1">
      <w:pPr>
        <w:rPr>
          <w:rFonts w:cs="Arial"/>
          <w:sz w:val="20"/>
          <w:szCs w:val="20"/>
        </w:rPr>
      </w:pPr>
      <w:r w:rsidRPr="001052F1">
        <w:rPr>
          <w:rFonts w:cs="Arial"/>
          <w:sz w:val="20"/>
          <w:szCs w:val="20"/>
        </w:rPr>
        <w:t>[9] Mišljenje vještaka  u saobraćajnim nezgodama tipa vozilo-pješak, Drašković D.;  Vujanić M.; Stanišić D., XVII Simpozijum ''Vještačenje saobraćajnih nezgoda i prevare u osiguranju'' Banja Luka 2018.</w:t>
      </w:r>
    </w:p>
    <w:p w:rsidR="001052F1" w:rsidRPr="001052F1" w:rsidRDefault="001052F1" w:rsidP="001052F1">
      <w:pPr>
        <w:rPr>
          <w:rFonts w:cs="Arial"/>
          <w:sz w:val="20"/>
          <w:szCs w:val="20"/>
        </w:rPr>
      </w:pPr>
      <w:r w:rsidRPr="001052F1">
        <w:rPr>
          <w:rFonts w:cs="Arial"/>
          <w:sz w:val="20"/>
          <w:szCs w:val="20"/>
        </w:rPr>
        <w:t>[10]  Načelo uzajamnog poverenja u saobraćaju, sa posebnim osvrtom na odnos vozača i pešaka prilikom prelaženja kolovoza, Milan Vujanić; Damir Okanović, Slobodan Malešić, XIX Simpozijum ''Veštačenje saobraćajnih nezgoda i prevare u osiguranju'' Divčibare 2020.</w:t>
      </w:r>
    </w:p>
    <w:p w:rsidR="001052F1" w:rsidRPr="001052F1" w:rsidRDefault="001052F1" w:rsidP="005B2D6E">
      <w:pPr>
        <w:rPr>
          <w:rFonts w:cs="Arial"/>
          <w:sz w:val="20"/>
          <w:szCs w:val="20"/>
        </w:rPr>
      </w:pPr>
      <w:r w:rsidRPr="001052F1">
        <w:rPr>
          <w:rFonts w:cs="Arial"/>
          <w:sz w:val="20"/>
          <w:szCs w:val="20"/>
        </w:rPr>
        <w:t xml:space="preserve">[11] </w:t>
      </w:r>
      <w:r w:rsidR="005B2D6E" w:rsidRPr="005B2D6E">
        <w:rPr>
          <w:rFonts w:cs="Arial"/>
          <w:sz w:val="20"/>
          <w:szCs w:val="20"/>
        </w:rPr>
        <w:t>KOMENTARI ZAKONA O KRIVIČNOM/KAZNENOM</w:t>
      </w:r>
      <w:r w:rsidR="005B2D6E">
        <w:rPr>
          <w:rFonts w:cs="Arial"/>
          <w:sz w:val="20"/>
          <w:szCs w:val="20"/>
        </w:rPr>
        <w:t xml:space="preserve"> </w:t>
      </w:r>
      <w:r w:rsidR="005B2D6E" w:rsidRPr="005B2D6E">
        <w:rPr>
          <w:rFonts w:cs="Arial"/>
          <w:sz w:val="20"/>
          <w:szCs w:val="20"/>
        </w:rPr>
        <w:t>POSTUPKU U BOSNI I HERCEGOVINI</w:t>
      </w:r>
      <w:r w:rsidR="00D9309B">
        <w:rPr>
          <w:rFonts w:cs="Arial"/>
          <w:sz w:val="20"/>
          <w:szCs w:val="20"/>
        </w:rPr>
        <w:t xml:space="preserve">, </w:t>
      </w:r>
      <w:r w:rsidR="00D9309B" w:rsidRPr="00D9309B">
        <w:rPr>
          <w:rFonts w:cs="Arial"/>
          <w:sz w:val="20"/>
          <w:szCs w:val="20"/>
        </w:rPr>
        <w:t>Izdavač: Savjet/Vijeće Evrope i Evropska komisija</w:t>
      </w:r>
      <w:r w:rsidR="00D9309B">
        <w:rPr>
          <w:rFonts w:cs="Arial"/>
          <w:sz w:val="20"/>
          <w:szCs w:val="20"/>
        </w:rPr>
        <w:t xml:space="preserve">, 2005. </w:t>
      </w:r>
    </w:p>
    <w:p w:rsidR="009A24E5" w:rsidRDefault="001052F1" w:rsidP="001052F1">
      <w:pPr>
        <w:rPr>
          <w:rFonts w:cs="Arial"/>
          <w:sz w:val="20"/>
          <w:szCs w:val="20"/>
        </w:rPr>
      </w:pPr>
      <w:r w:rsidRPr="001052F1">
        <w:rPr>
          <w:rFonts w:cs="Arial"/>
          <w:sz w:val="20"/>
          <w:szCs w:val="20"/>
        </w:rPr>
        <w:t>[12]</w:t>
      </w:r>
      <w:r w:rsidR="003947F6">
        <w:rPr>
          <w:rFonts w:cs="Arial"/>
          <w:sz w:val="20"/>
          <w:szCs w:val="20"/>
        </w:rPr>
        <w:t xml:space="preserve"> Ekspertize saobraćajnih nezogda, Drašković D, Bogdanović V, Banja Luka, 2023. g.</w:t>
      </w:r>
    </w:p>
    <w:p w:rsidR="003947F6" w:rsidRDefault="003947F6" w:rsidP="001052F1">
      <w:pPr>
        <w:rPr>
          <w:rFonts w:cs="Arial"/>
          <w:sz w:val="20"/>
          <w:szCs w:val="20"/>
        </w:rPr>
      </w:pPr>
      <w:r>
        <w:rPr>
          <w:rFonts w:cs="Arial"/>
          <w:sz w:val="20"/>
          <w:szCs w:val="20"/>
        </w:rPr>
        <w:t xml:space="preserve">[13] Vještačenje u sudskim postpucima, Simović M, Medić D, Ćurković S, Simović M, Banja Luka 2020. g. </w:t>
      </w:r>
    </w:p>
    <w:p w:rsidR="003947F6" w:rsidRDefault="003947F6" w:rsidP="001052F1">
      <w:pPr>
        <w:rPr>
          <w:rFonts w:cs="Arial"/>
          <w:sz w:val="20"/>
          <w:szCs w:val="20"/>
        </w:rPr>
      </w:pPr>
      <w:r>
        <w:rPr>
          <w:rFonts w:cs="Arial"/>
          <w:sz w:val="20"/>
          <w:szCs w:val="20"/>
        </w:rPr>
        <w:t>[14] Krivično pravo, posebni dio, Babić M, Marković I, Banja Luka, 2007. g.</w:t>
      </w:r>
    </w:p>
    <w:p w:rsidR="003947F6" w:rsidRDefault="003947F6" w:rsidP="001052F1">
      <w:pPr>
        <w:rPr>
          <w:rFonts w:cs="Arial"/>
          <w:sz w:val="20"/>
          <w:szCs w:val="20"/>
        </w:rPr>
      </w:pPr>
      <w:r>
        <w:rPr>
          <w:rFonts w:cs="Arial"/>
          <w:sz w:val="20"/>
          <w:szCs w:val="20"/>
        </w:rPr>
        <w:t>[15] Krivično procesno pravo, Simović M, Bihać, 2009. g.</w:t>
      </w:r>
    </w:p>
    <w:p w:rsidR="003947F6" w:rsidRDefault="003947F6" w:rsidP="001052F1">
      <w:pPr>
        <w:rPr>
          <w:rFonts w:cs="Arial"/>
          <w:sz w:val="20"/>
          <w:szCs w:val="20"/>
        </w:rPr>
      </w:pPr>
      <w:r>
        <w:rPr>
          <w:rFonts w:cs="Arial"/>
          <w:sz w:val="20"/>
          <w:szCs w:val="20"/>
        </w:rPr>
        <w:t xml:space="preserve">[16] Sistem krivičnog procesnog prava SFRJ, Vasiljević T, Beograd, 1964. </w:t>
      </w:r>
    </w:p>
    <w:p w:rsidR="002A1C49" w:rsidRDefault="002A1C49" w:rsidP="001052F1">
      <w:pPr>
        <w:rPr>
          <w:rFonts w:ascii="Tahoma" w:hAnsi="Tahoma" w:cs="Tahoma"/>
          <w:color w:val="000000"/>
          <w:sz w:val="18"/>
          <w:szCs w:val="18"/>
        </w:rPr>
      </w:pPr>
      <w:r>
        <w:rPr>
          <w:rFonts w:cs="Arial"/>
          <w:sz w:val="20"/>
          <w:szCs w:val="20"/>
        </w:rPr>
        <w:t>[1</w:t>
      </w:r>
      <w:r>
        <w:rPr>
          <w:rFonts w:cs="Arial"/>
          <w:sz w:val="20"/>
          <w:szCs w:val="20"/>
        </w:rPr>
        <w:t>7</w:t>
      </w:r>
      <w:r>
        <w:rPr>
          <w:rFonts w:cs="Arial"/>
          <w:sz w:val="20"/>
          <w:szCs w:val="20"/>
        </w:rPr>
        <w:t xml:space="preserve">] </w:t>
      </w:r>
      <w:r w:rsidRPr="00934D1F">
        <w:t>OD PROCENE DO TVRDNJE</w:t>
      </w:r>
      <w:r>
        <w:t xml:space="preserve"> N</w:t>
      </w:r>
      <w:r w:rsidRPr="00934D1F">
        <w:t>AČIN IZRAŽAVANJA STAVOVA VEŠTAKA PRI IZRADI</w:t>
      </w:r>
      <w:r>
        <w:t xml:space="preserve"> S</w:t>
      </w:r>
      <w:r w:rsidRPr="00934D1F">
        <w:t>AOBRAĆAJNO-TEHNIČKOG VEŠTAČENJA</w:t>
      </w:r>
      <w:r>
        <w:t xml:space="preserve">, </w:t>
      </w:r>
      <w:r w:rsidRPr="00F601F4">
        <w:t>Vujanić M.; Lipovac K.</w:t>
      </w:r>
      <w:r>
        <w:t xml:space="preserve"> </w:t>
      </w:r>
      <w:r w:rsidRPr="00F601F4">
        <w:rPr>
          <w:rFonts w:ascii="Tahoma" w:hAnsi="Tahoma" w:cs="Tahoma"/>
          <w:color w:val="000000"/>
          <w:sz w:val="18"/>
          <w:szCs w:val="18"/>
        </w:rPr>
        <w:t>XXI Simpozijum ''Veštačenje saobraćajnih nezgoda i prevare u osiguranju</w:t>
      </w:r>
      <w:r>
        <w:rPr>
          <w:rFonts w:ascii="Tahoma" w:hAnsi="Tahoma" w:cs="Tahoma"/>
          <w:color w:val="000000"/>
          <w:sz w:val="18"/>
          <w:szCs w:val="18"/>
        </w:rPr>
        <w:t>, Ivanjica 2022.</w:t>
      </w:r>
    </w:p>
    <w:p w:rsidR="00BB412B" w:rsidRPr="000F410D" w:rsidRDefault="00BB412B" w:rsidP="001052F1">
      <w:pPr>
        <w:rPr>
          <w:rFonts w:cs="Arial"/>
          <w:sz w:val="20"/>
          <w:szCs w:val="20"/>
        </w:rPr>
      </w:pPr>
      <w:r>
        <w:rPr>
          <w:rFonts w:cs="Arial"/>
          <w:sz w:val="20"/>
          <w:szCs w:val="20"/>
        </w:rPr>
        <w:t>[1</w:t>
      </w:r>
      <w:r>
        <w:rPr>
          <w:rFonts w:cs="Arial"/>
          <w:sz w:val="20"/>
          <w:szCs w:val="20"/>
        </w:rPr>
        <w:t>8</w:t>
      </w:r>
      <w:r>
        <w:rPr>
          <w:rFonts w:cs="Arial"/>
          <w:sz w:val="20"/>
          <w:szCs w:val="20"/>
        </w:rPr>
        <w:t xml:space="preserve">] </w:t>
      </w:r>
      <w:r w:rsidRPr="005A4900">
        <w:t>SAOBRAĆAJNO VJEŠTAČENJE KAO DOKAZNO SREDSTVO, PRAVNA I TEHNIČKA PITANJA</w:t>
      </w:r>
      <w:r>
        <w:t>, Vujanić M. Stanišić. D. XV savjetovanje iz oblasti građanskog prava, Jahorina 2021.</w:t>
      </w:r>
    </w:p>
    <w:sectPr w:rsidR="00BB412B" w:rsidRPr="000F410D" w:rsidSect="005A3FF3">
      <w:headerReference w:type="even" r:id="rId8"/>
      <w:footerReference w:type="default" r:id="rId9"/>
      <w:headerReference w:type="first" r:id="rId10"/>
      <w:footerReference w:type="first" r:id="rId11"/>
      <w:endnotePr>
        <w:numFmt w:val="decimal"/>
      </w:endnotePr>
      <w:pgSz w:w="11907" w:h="16840" w:code="9"/>
      <w:pgMar w:top="1440" w:right="1440" w:bottom="1440" w:left="1440" w:header="851" w:footer="68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765" w:rsidRDefault="00E76765">
      <w:r>
        <w:separator/>
      </w:r>
    </w:p>
  </w:endnote>
  <w:endnote w:type="continuationSeparator" w:id="0">
    <w:p w:rsidR="00E76765" w:rsidRDefault="00E7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embedRegular r:id="rId1" w:subsetted="1" w:fontKey="{35CB193F-0470-4626-8DC5-8909664F1ED7}"/>
    <w:embedBold r:id="rId2" w:subsetted="1" w:fontKey="{8AB237E6-7CF0-4C84-8086-513E81593607}"/>
  </w:font>
  <w:font w:name="Arial Unicode MS">
    <w:panose1 w:val="020B0604020202020204"/>
    <w:charset w:val="00"/>
    <w:family w:val="roman"/>
    <w:notTrueType/>
    <w:pitch w:val="variable"/>
    <w:sig w:usb0="00000003" w:usb1="00000000" w:usb2="00000000" w:usb3="00000000" w:csb0="00000001" w:csb1="00000000"/>
  </w:font>
  <w:font w:name="81qbholgdpfugch">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3" w:fontKey="{AC739214-9CF9-4591-814B-836DF03E56E3}"/>
    <w:embedBold r:id="rId4" w:fontKey="{2B24F75E-5DA8-4898-96A5-D9A649B32DCA}"/>
  </w:font>
  <w:font w:name="Georgia">
    <w:panose1 w:val="02040502050405020303"/>
    <w:charset w:val="00"/>
    <w:family w:val="roman"/>
    <w:pitch w:val="variable"/>
    <w:sig w:usb0="00000287" w:usb1="00000000" w:usb2="00000000" w:usb3="00000000" w:csb0="0000009F" w:csb1="00000000"/>
    <w:embedRegular r:id="rId5" w:fontKey="{8FA4105F-98ED-4871-BD58-7432BD097D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15524"/>
      <w:docPartObj>
        <w:docPartGallery w:val="Page Numbers (Bottom of Page)"/>
        <w:docPartUnique/>
      </w:docPartObj>
    </w:sdtPr>
    <w:sdtEndPr>
      <w:rPr>
        <w:noProof/>
      </w:rPr>
    </w:sdtEndPr>
    <w:sdtContent>
      <w:p w:rsidR="009D2527" w:rsidRDefault="009D2527">
        <w:pPr>
          <w:pStyle w:val="Footer"/>
          <w:jc w:val="right"/>
        </w:pPr>
        <w:r>
          <w:fldChar w:fldCharType="begin"/>
        </w:r>
        <w:r>
          <w:instrText xml:space="preserve"> PAGE   \* MERGEFORMAT </w:instrText>
        </w:r>
        <w:r>
          <w:fldChar w:fldCharType="separate"/>
        </w:r>
        <w:r w:rsidR="003947F6">
          <w:rPr>
            <w:noProof/>
          </w:rPr>
          <w:t>11</w:t>
        </w:r>
        <w:r>
          <w:rPr>
            <w:noProof/>
          </w:rPr>
          <w:fldChar w:fldCharType="end"/>
        </w:r>
      </w:p>
    </w:sdtContent>
  </w:sdt>
  <w:p w:rsidR="0092099F" w:rsidRDefault="009209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173205"/>
      <w:docPartObj>
        <w:docPartGallery w:val="Page Numbers (Bottom of Page)"/>
        <w:docPartUnique/>
      </w:docPartObj>
    </w:sdtPr>
    <w:sdtEndPr>
      <w:rPr>
        <w:noProof/>
      </w:rPr>
    </w:sdtEndPr>
    <w:sdtContent>
      <w:p w:rsidR="005A3FF3" w:rsidRDefault="005A3F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76765" w:rsidRPr="00B1015A" w:rsidRDefault="00E76765" w:rsidP="00B1015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765" w:rsidRDefault="00E76765" w:rsidP="00C01EBF">
      <w:pPr>
        <w:spacing w:after="0"/>
      </w:pPr>
      <w:r>
        <w:separator/>
      </w:r>
    </w:p>
  </w:footnote>
  <w:footnote w:type="continuationSeparator" w:id="0">
    <w:p w:rsidR="00E76765" w:rsidRDefault="00E76765">
      <w:r>
        <w:continuationSeparator/>
      </w:r>
    </w:p>
  </w:footnote>
  <w:footnote w:id="1">
    <w:p w:rsidR="00E76765" w:rsidRPr="00DE4ED3" w:rsidRDefault="00E76765" w:rsidP="005E3757">
      <w:pPr>
        <w:pStyle w:val="Institucija"/>
        <w:rPr>
          <w:rFonts w:ascii="Georgia" w:hAnsi="Georgia"/>
          <w:szCs w:val="20"/>
        </w:rPr>
      </w:pPr>
      <w:r w:rsidRPr="00DE4ED3">
        <w:rPr>
          <w:rStyle w:val="FootnoteReference"/>
          <w:rFonts w:ascii="Georgia" w:hAnsi="Georgia"/>
          <w:sz w:val="16"/>
          <w:szCs w:val="20"/>
        </w:rPr>
        <w:footnoteRef/>
      </w:r>
      <w:r w:rsidRPr="00DE4ED3">
        <w:rPr>
          <w:rFonts w:ascii="Georgia" w:hAnsi="Georgia"/>
          <w:szCs w:val="20"/>
        </w:rPr>
        <w:t xml:space="preserve"> Advokat Dragan Stanišić, Vojvode Stepe 107c. Banja Luka, </w:t>
      </w:r>
      <w:hyperlink r:id="rId1" w:history="1">
        <w:r w:rsidRPr="00DE4ED3">
          <w:rPr>
            <w:rStyle w:val="Hyperlink"/>
            <w:rFonts w:ascii="Georgia" w:hAnsi="Georgia"/>
            <w:szCs w:val="20"/>
          </w:rPr>
          <w:t>advokat@drstanisic.com</w:t>
        </w:r>
      </w:hyperlink>
      <w:r w:rsidRPr="00DE4ED3">
        <w:rPr>
          <w:rFonts w:ascii="Georgia" w:hAnsi="Georgia"/>
          <w:szCs w:val="20"/>
        </w:rPr>
        <w:t xml:space="preserve">; </w:t>
      </w:r>
    </w:p>
    <w:p w:rsidR="00E76765" w:rsidRPr="00DE4ED3" w:rsidRDefault="00E76765" w:rsidP="005E3757">
      <w:pPr>
        <w:pStyle w:val="Institucija"/>
        <w:rPr>
          <w:rFonts w:ascii="Georgia" w:hAnsi="Georgia"/>
          <w:szCs w:val="20"/>
        </w:rPr>
      </w:pPr>
      <w:r w:rsidRPr="00DE4ED3">
        <w:rPr>
          <w:rFonts w:ascii="Georgia" w:hAnsi="Georgia"/>
          <w:szCs w:val="20"/>
          <w:vertAlign w:val="superscript"/>
        </w:rPr>
        <w:t xml:space="preserve">2  </w:t>
      </w:r>
      <w:r w:rsidRPr="00DE4ED3">
        <w:rPr>
          <w:rFonts w:ascii="Georgia" w:hAnsi="Georgia"/>
          <w:szCs w:val="20"/>
        </w:rPr>
        <w:t>dr Milan Vujanić, prof, TSG doo, Beograd, vujanic</w:t>
      </w:r>
      <w:r w:rsidRPr="00DE4ED3">
        <w:rPr>
          <w:rFonts w:ascii="Georgia" w:hAnsi="Georgia"/>
          <w:szCs w:val="20"/>
          <w:lang w:val="en-US"/>
        </w:rPr>
        <w:t>@mail.com</w:t>
      </w:r>
      <w:r w:rsidRPr="00DE4ED3">
        <w:rPr>
          <w:rFonts w:ascii="Georgia" w:hAnsi="Georgia"/>
          <w:szCs w:val="20"/>
        </w:rPr>
        <w:t xml:space="preserve"> </w:t>
      </w:r>
    </w:p>
    <w:p w:rsidR="00E76765" w:rsidRPr="00DE4ED3" w:rsidRDefault="00E76765" w:rsidP="005E3757">
      <w:pPr>
        <w:pStyle w:val="Institucija"/>
        <w:rPr>
          <w:rStyle w:val="Hyperlink"/>
          <w:rFonts w:ascii="Georgia" w:hAnsi="Georgia"/>
          <w:color w:val="auto"/>
          <w:szCs w:val="20"/>
          <w:u w:val="none"/>
        </w:rPr>
      </w:pPr>
    </w:p>
  </w:footnote>
  <w:footnote w:id="2">
    <w:p w:rsidR="004E1629" w:rsidRPr="00DE4ED3" w:rsidRDefault="004E1629">
      <w:pPr>
        <w:pStyle w:val="FootnoteText"/>
        <w:rPr>
          <w:szCs w:val="20"/>
          <w:lang w:val="sr-Latn-BA"/>
        </w:rPr>
      </w:pPr>
      <w:r w:rsidRPr="00DE4ED3">
        <w:rPr>
          <w:rStyle w:val="FootnoteReference"/>
          <w:sz w:val="16"/>
          <w:szCs w:val="20"/>
        </w:rPr>
        <w:footnoteRef/>
      </w:r>
      <w:r w:rsidRPr="00DE4ED3">
        <w:rPr>
          <w:szCs w:val="20"/>
        </w:rPr>
        <w:t xml:space="preserve"> </w:t>
      </w:r>
      <w:r w:rsidRPr="00DE4ED3">
        <w:rPr>
          <w:szCs w:val="20"/>
          <w:lang w:val="sr-Latn-BA"/>
        </w:rPr>
        <w:t>O povredama učesnika u nezgodi se vještak saobraćajne struke smije izjašnjavati isključivo na osnovu činjenica koje utvrdi</w:t>
      </w:r>
      <w:r w:rsidR="00DE4ED3">
        <w:rPr>
          <w:szCs w:val="20"/>
          <w:lang w:val="sr-Latn-BA"/>
        </w:rPr>
        <w:t xml:space="preserve"> </w:t>
      </w:r>
      <w:r w:rsidRPr="00DE4ED3">
        <w:rPr>
          <w:szCs w:val="20"/>
          <w:lang w:val="sr-Latn-BA"/>
        </w:rPr>
        <w:t>vještak medicnske struke.</w:t>
      </w:r>
    </w:p>
  </w:footnote>
  <w:footnote w:id="3">
    <w:p w:rsidR="00934D1F" w:rsidRPr="00DE4ED3" w:rsidRDefault="00934D1F">
      <w:pPr>
        <w:pStyle w:val="FootnoteText"/>
        <w:rPr>
          <w:szCs w:val="20"/>
          <w:lang w:val="sr-Latn-BA"/>
        </w:rPr>
      </w:pPr>
      <w:r w:rsidRPr="00DE4ED3">
        <w:rPr>
          <w:rStyle w:val="FootnoteReference"/>
          <w:sz w:val="16"/>
          <w:szCs w:val="20"/>
        </w:rPr>
        <w:footnoteRef/>
      </w:r>
      <w:r w:rsidRPr="00DE4ED3">
        <w:rPr>
          <w:szCs w:val="20"/>
        </w:rPr>
        <w:t xml:space="preserve"> </w:t>
      </w:r>
      <w:r w:rsidRPr="00DE4ED3">
        <w:rPr>
          <w:szCs w:val="20"/>
        </w:rPr>
        <w:t>OD PROCENE DO TVRDNJE NAČIN IZRAŽAVANJA STAVOVA VEŠTAKA PRI IZRADI</w:t>
      </w:r>
      <w:r w:rsidR="00F601F4" w:rsidRPr="00DE4ED3">
        <w:rPr>
          <w:szCs w:val="20"/>
        </w:rPr>
        <w:t xml:space="preserve"> S</w:t>
      </w:r>
      <w:r w:rsidRPr="00DE4ED3">
        <w:rPr>
          <w:szCs w:val="20"/>
        </w:rPr>
        <w:t>AOBRAĆAJNO-TEHNIČKOG VEŠTAČENJA</w:t>
      </w:r>
      <w:r w:rsidR="00F601F4" w:rsidRPr="00DE4ED3">
        <w:rPr>
          <w:szCs w:val="20"/>
        </w:rPr>
        <w:t xml:space="preserve">, Vujanić M.; Lipovac K. </w:t>
      </w:r>
      <w:r w:rsidR="00F601F4" w:rsidRPr="00DE4ED3">
        <w:rPr>
          <w:rFonts w:ascii="Tahoma" w:hAnsi="Tahoma" w:cs="Tahoma"/>
          <w:color w:val="000000"/>
          <w:szCs w:val="20"/>
        </w:rPr>
        <w:t>XXI Simpozijum ''Veštačenje saobraćajnih nezgoda i prevare u osiguranju</w:t>
      </w:r>
      <w:r w:rsidR="002A1C49" w:rsidRPr="00DE4ED3">
        <w:rPr>
          <w:rFonts w:ascii="Tahoma" w:hAnsi="Tahoma" w:cs="Tahoma"/>
          <w:color w:val="000000"/>
          <w:szCs w:val="20"/>
        </w:rPr>
        <w:t>, Ivanjica 2022.</w:t>
      </w:r>
    </w:p>
  </w:footnote>
  <w:footnote w:id="4">
    <w:p w:rsidR="005A4900" w:rsidRPr="00DE4ED3" w:rsidRDefault="005A4900">
      <w:pPr>
        <w:pStyle w:val="FootnoteText"/>
        <w:rPr>
          <w:szCs w:val="20"/>
          <w:lang w:val="sr-Latn-BA"/>
        </w:rPr>
      </w:pPr>
      <w:r w:rsidRPr="00DE4ED3">
        <w:rPr>
          <w:rStyle w:val="FootnoteReference"/>
          <w:sz w:val="16"/>
          <w:szCs w:val="20"/>
        </w:rPr>
        <w:footnoteRef/>
      </w:r>
      <w:r w:rsidRPr="00DE4ED3">
        <w:rPr>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765" w:rsidRDefault="00E76765" w:rsidP="002F290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76765" w:rsidRDefault="00E76765" w:rsidP="00C70595">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765" w:rsidRDefault="00E76765" w:rsidP="003F1EC0">
    <w:pPr>
      <w:pStyle w:val="Header"/>
      <w:jc w:val="both"/>
    </w:pPr>
  </w:p>
  <w:p w:rsidR="00E76765" w:rsidRDefault="00E76765" w:rsidP="00B5237C">
    <w:pPr>
      <w:pStyle w:val="Header"/>
    </w:pPr>
  </w:p>
  <w:p w:rsidR="00E76765" w:rsidRDefault="00E76765" w:rsidP="00B5237C">
    <w:pPr>
      <w:pStyle w:val="Header"/>
    </w:pPr>
    <w:r>
      <w:rPr>
        <w:noProof/>
        <w:lang w:val="bs-Latn-BA" w:eastAsia="bs-Latn-BA"/>
      </w:rPr>
      <mc:AlternateContent>
        <mc:Choice Requires="wps">
          <w:drawing>
            <wp:anchor distT="36576" distB="36576" distL="36576" distR="36576" simplePos="0" relativeHeight="251657728" behindDoc="0" locked="0" layoutInCell="1" allowOverlap="1">
              <wp:simplePos x="0" y="0"/>
              <wp:positionH relativeFrom="page">
                <wp:posOffset>1591945</wp:posOffset>
              </wp:positionH>
              <wp:positionV relativeFrom="page">
                <wp:posOffset>2719705</wp:posOffset>
              </wp:positionV>
              <wp:extent cx="5255895" cy="2374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237490"/>
                      </a:xfrm>
                      <a:prstGeom prst="roundRect">
                        <a:avLst>
                          <a:gd name="adj" fmla="val 50000"/>
                        </a:avLst>
                      </a:prstGeom>
                      <a:solidFill>
                        <a:srgbClr val="C0C0C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4B16ED" id="AutoShape 2" o:spid="_x0000_s1026" style="position:absolute;margin-left:125.35pt;margin-top:214.15pt;width:413.85pt;height:18.7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" fillcolor="silver" stroked="f" strokeweight="0" insetpen="t">
              <v:shadow color="#ccc"/>
              <o:lock v:ext="edit" shapetype="t"/>
              <v:textbox inset="2.88pt,2.88pt,2.88pt,2.88pt"/>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F38786E"/>
    <w:lvl w:ilvl="0">
      <w:numFmt w:val="bullet"/>
      <w:lvlText w:val="*"/>
      <w:lvlJc w:val="left"/>
    </w:lvl>
  </w:abstractNum>
  <w:abstractNum w:abstractNumId="1" w15:restartNumberingAfterBreak="0">
    <w:nsid w:val="04FC6D8F"/>
    <w:multiLevelType w:val="hybridMultilevel"/>
    <w:tmpl w:val="8A8802E4"/>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0DCA3CB1"/>
    <w:multiLevelType w:val="hybridMultilevel"/>
    <w:tmpl w:val="F21CE2DC"/>
    <w:lvl w:ilvl="0" w:tplc="6A3ABE16">
      <w:numFmt w:val="bullet"/>
      <w:lvlText w:val="-"/>
      <w:lvlJc w:val="left"/>
      <w:pPr>
        <w:ind w:left="757" w:hanging="360"/>
      </w:pPr>
      <w:rPr>
        <w:rFonts w:ascii="Arial" w:eastAsia="Times New Roman" w:hAnsi="Arial" w:cs="Arial" w:hint="default"/>
        <w:b w:val="0"/>
        <w:sz w:val="24"/>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 w15:restartNumberingAfterBreak="0">
    <w:nsid w:val="15DE0CCD"/>
    <w:multiLevelType w:val="hybridMultilevel"/>
    <w:tmpl w:val="7E54DAE8"/>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4" w15:restartNumberingAfterBreak="0">
    <w:nsid w:val="1B774F64"/>
    <w:multiLevelType w:val="multilevel"/>
    <w:tmpl w:val="AE44FC2E"/>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37"/>
        </w:tabs>
        <w:ind w:left="737" w:hanging="73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5" w15:restartNumberingAfterBreak="0">
    <w:nsid w:val="1E7B00B9"/>
    <w:multiLevelType w:val="hybridMultilevel"/>
    <w:tmpl w:val="F30E0F9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FE42E5F"/>
    <w:multiLevelType w:val="multilevel"/>
    <w:tmpl w:val="04090023"/>
    <w:name w:val="Naslovi5"/>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20064953"/>
    <w:multiLevelType w:val="hybridMultilevel"/>
    <w:tmpl w:val="59FEF78A"/>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8" w15:restartNumberingAfterBreak="0">
    <w:nsid w:val="21DA6733"/>
    <w:multiLevelType w:val="hybridMultilevel"/>
    <w:tmpl w:val="B8E22A3A"/>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9" w15:restartNumberingAfterBreak="0">
    <w:nsid w:val="25670E30"/>
    <w:multiLevelType w:val="hybridMultilevel"/>
    <w:tmpl w:val="05EA39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9FA27E3"/>
    <w:multiLevelType w:val="hybridMultilevel"/>
    <w:tmpl w:val="DD7A3FC8"/>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1" w15:restartNumberingAfterBreak="0">
    <w:nsid w:val="30143B0D"/>
    <w:multiLevelType w:val="hybridMultilevel"/>
    <w:tmpl w:val="55A28622"/>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2" w15:restartNumberingAfterBreak="0">
    <w:nsid w:val="33532852"/>
    <w:multiLevelType w:val="hybridMultilevel"/>
    <w:tmpl w:val="27E839EA"/>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3" w15:restartNumberingAfterBreak="0">
    <w:nsid w:val="34207292"/>
    <w:multiLevelType w:val="multilevel"/>
    <w:tmpl w:val="6E760B9C"/>
    <w:lvl w:ilvl="0">
      <w:start w:val="1"/>
      <w:numFmt w:val="russianLower"/>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14" w15:restartNumberingAfterBreak="0">
    <w:nsid w:val="37963DDA"/>
    <w:multiLevelType w:val="hybridMultilevel"/>
    <w:tmpl w:val="4CCCBF40"/>
    <w:lvl w:ilvl="0" w:tplc="241A000F">
      <w:start w:val="1"/>
      <w:numFmt w:val="decimal"/>
      <w:lvlText w:val="%1."/>
      <w:lvlJc w:val="left"/>
      <w:pPr>
        <w:ind w:left="757" w:hanging="360"/>
      </w:pPr>
      <w:rPr>
        <w:rFonts w:hint="default"/>
        <w:b w:val="0"/>
        <w:sz w:val="24"/>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5" w15:restartNumberingAfterBreak="0">
    <w:nsid w:val="379D4DC6"/>
    <w:multiLevelType w:val="multilevel"/>
    <w:tmpl w:val="0409001D"/>
    <w:name w:val="Naslovi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8C2439"/>
    <w:multiLevelType w:val="multilevel"/>
    <w:tmpl w:val="C51E92FA"/>
    <w:name w:val="Naslovi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0"/>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040147E"/>
    <w:multiLevelType w:val="multilevel"/>
    <w:tmpl w:val="65F0FECC"/>
    <w:lvl w:ilvl="0">
      <w:start w:val="1"/>
      <w:numFmt w:val="decimal"/>
      <w:pStyle w:val="Literatura"/>
      <w:lvlText w:val="[%1]"/>
      <w:lvlJc w:val="left"/>
      <w:pPr>
        <w:tabs>
          <w:tab w:val="num" w:pos="454"/>
        </w:tabs>
        <w:ind w:left="454" w:hanging="454"/>
      </w:pPr>
      <w:rPr>
        <w:rFonts w:hint="default"/>
        <w:color w:val="auto"/>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49B8632C"/>
    <w:multiLevelType w:val="multilevel"/>
    <w:tmpl w:val="B3EACF22"/>
    <w:lvl w:ilvl="0">
      <w:start w:val="1"/>
      <w:numFmt w:val="decimal"/>
      <w:lvlText w:val="%1."/>
      <w:lvlJc w:val="left"/>
      <w:pPr>
        <w:tabs>
          <w:tab w:val="num" w:pos="340"/>
        </w:tabs>
        <w:ind w:left="680" w:hanging="340"/>
      </w:pPr>
      <w:rPr>
        <w:rFonts w:ascii="Tunga" w:hAnsi="Tung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BC03B2A"/>
    <w:multiLevelType w:val="multilevel"/>
    <w:tmpl w:val="0409001F"/>
    <w:name w:val="Naslovi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4D4A4E54"/>
    <w:multiLevelType w:val="multilevel"/>
    <w:tmpl w:val="0409001F"/>
    <w:name w:val="Naslovi4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E48653E"/>
    <w:multiLevelType w:val="hybridMultilevel"/>
    <w:tmpl w:val="DCA40D8A"/>
    <w:lvl w:ilvl="0" w:tplc="B18CF67E">
      <w:start w:val="1"/>
      <w:numFmt w:val="decimal"/>
      <w:pStyle w:val="Nabrajanjebrojevi"/>
      <w:lvlText w:val="%1."/>
      <w:lvlJc w:val="left"/>
      <w:pPr>
        <w:tabs>
          <w:tab w:val="num" w:pos="340"/>
        </w:tabs>
        <w:ind w:left="680" w:hanging="340"/>
      </w:pPr>
      <w:rPr>
        <w:rFonts w:ascii="Arial" w:hAnsi="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3D4020"/>
    <w:multiLevelType w:val="multilevel"/>
    <w:tmpl w:val="04090023"/>
    <w:name w:val="Naslovi4222"/>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26B136C"/>
    <w:multiLevelType w:val="multilevel"/>
    <w:tmpl w:val="0409001D"/>
    <w:name w:val="Naslovi4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295712F"/>
    <w:multiLevelType w:val="multilevel"/>
    <w:tmpl w:val="592A213E"/>
    <w:lvl w:ilvl="0">
      <w:start w:val="1"/>
      <w:numFmt w:val="lowerLetter"/>
      <w:pStyle w:val="nabrajanjeslova"/>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25" w15:restartNumberingAfterBreak="0">
    <w:nsid w:val="56943FAD"/>
    <w:multiLevelType w:val="multilevel"/>
    <w:tmpl w:val="CEFC2E8E"/>
    <w:lvl w:ilvl="0">
      <w:start w:val="1"/>
      <w:numFmt w:val="russianLower"/>
      <w:lvlText w:val="%1)"/>
      <w:lvlJc w:val="left"/>
      <w:pPr>
        <w:tabs>
          <w:tab w:val="num" w:pos="340"/>
        </w:tabs>
        <w:ind w:left="340" w:hanging="340"/>
      </w:pPr>
      <w:rPr>
        <w:rFonts w:ascii="Arial" w:hAnsi="Arial" w:hint="default"/>
        <w:sz w:val="22"/>
        <w:szCs w:val="22"/>
      </w:rPr>
    </w:lvl>
    <w:lvl w:ilvl="1">
      <w:start w:val="1"/>
      <w:numFmt w:val="lowerLetter"/>
      <w:lvlText w:val="%2)"/>
      <w:lvlJc w:val="left"/>
      <w:pPr>
        <w:tabs>
          <w:tab w:val="num" w:pos="2177"/>
        </w:tabs>
        <w:ind w:left="2177" w:hanging="360"/>
      </w:pPr>
      <w:rPr>
        <w:rFonts w:hint="default"/>
      </w:rPr>
    </w:lvl>
    <w:lvl w:ilvl="2">
      <w:start w:val="1"/>
      <w:numFmt w:val="lowerRoman"/>
      <w:lvlText w:val="%3)"/>
      <w:lvlJc w:val="left"/>
      <w:pPr>
        <w:tabs>
          <w:tab w:val="num" w:pos="2537"/>
        </w:tabs>
        <w:ind w:left="2537" w:hanging="360"/>
      </w:pPr>
      <w:rPr>
        <w:rFonts w:hint="default"/>
      </w:rPr>
    </w:lvl>
    <w:lvl w:ilvl="3">
      <w:start w:val="1"/>
      <w:numFmt w:val="decimal"/>
      <w:lvlText w:val="(%4)"/>
      <w:lvlJc w:val="left"/>
      <w:pPr>
        <w:tabs>
          <w:tab w:val="num" w:pos="2897"/>
        </w:tabs>
        <w:ind w:left="2897" w:hanging="360"/>
      </w:pPr>
      <w:rPr>
        <w:rFonts w:hint="default"/>
      </w:rPr>
    </w:lvl>
    <w:lvl w:ilvl="4">
      <w:start w:val="1"/>
      <w:numFmt w:val="lowerLetter"/>
      <w:lvlText w:val="(%5)"/>
      <w:lvlJc w:val="left"/>
      <w:pPr>
        <w:tabs>
          <w:tab w:val="num" w:pos="3257"/>
        </w:tabs>
        <w:ind w:left="3257" w:hanging="360"/>
      </w:pPr>
      <w:rPr>
        <w:rFonts w:hint="default"/>
      </w:rPr>
    </w:lvl>
    <w:lvl w:ilvl="5">
      <w:start w:val="1"/>
      <w:numFmt w:val="lowerRoman"/>
      <w:lvlText w:val="(%6)"/>
      <w:lvlJc w:val="left"/>
      <w:pPr>
        <w:tabs>
          <w:tab w:val="num" w:pos="3617"/>
        </w:tabs>
        <w:ind w:left="3617" w:hanging="360"/>
      </w:pPr>
      <w:rPr>
        <w:rFonts w:hint="default"/>
      </w:rPr>
    </w:lvl>
    <w:lvl w:ilvl="6">
      <w:start w:val="1"/>
      <w:numFmt w:val="decimal"/>
      <w:lvlText w:val="%7."/>
      <w:lvlJc w:val="left"/>
      <w:pPr>
        <w:tabs>
          <w:tab w:val="num" w:pos="3977"/>
        </w:tabs>
        <w:ind w:left="3977" w:hanging="360"/>
      </w:pPr>
      <w:rPr>
        <w:rFonts w:hint="default"/>
      </w:rPr>
    </w:lvl>
    <w:lvl w:ilvl="7">
      <w:start w:val="1"/>
      <w:numFmt w:val="lowerLetter"/>
      <w:lvlText w:val="%8."/>
      <w:lvlJc w:val="left"/>
      <w:pPr>
        <w:tabs>
          <w:tab w:val="num" w:pos="4337"/>
        </w:tabs>
        <w:ind w:left="4337" w:hanging="360"/>
      </w:pPr>
      <w:rPr>
        <w:rFonts w:hint="default"/>
      </w:rPr>
    </w:lvl>
    <w:lvl w:ilvl="8">
      <w:start w:val="1"/>
      <w:numFmt w:val="lowerRoman"/>
      <w:lvlText w:val="%9."/>
      <w:lvlJc w:val="left"/>
      <w:pPr>
        <w:tabs>
          <w:tab w:val="num" w:pos="4697"/>
        </w:tabs>
        <w:ind w:left="4697" w:hanging="360"/>
      </w:pPr>
      <w:rPr>
        <w:rFonts w:hint="default"/>
      </w:rPr>
    </w:lvl>
  </w:abstractNum>
  <w:abstractNum w:abstractNumId="26" w15:restartNumberingAfterBreak="0">
    <w:nsid w:val="60D1726F"/>
    <w:multiLevelType w:val="multilevel"/>
    <w:tmpl w:val="0AC4458C"/>
    <w:lvl w:ilvl="0">
      <w:start w:val="1"/>
      <w:numFmt w:val="decimal"/>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465425D"/>
    <w:multiLevelType w:val="hybridMultilevel"/>
    <w:tmpl w:val="71320032"/>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8" w15:restartNumberingAfterBreak="0">
    <w:nsid w:val="74D67FAB"/>
    <w:multiLevelType w:val="multilevel"/>
    <w:tmpl w:val="0409001F"/>
    <w:name w:val="Naslovi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55C2216"/>
    <w:multiLevelType w:val="multilevel"/>
    <w:tmpl w:val="DA82352E"/>
    <w:lvl w:ilvl="0">
      <w:start w:val="1"/>
      <w:numFmt w:val="russianLower"/>
      <w:lvlText w:val="%1)"/>
      <w:lvlJc w:val="left"/>
      <w:pPr>
        <w:tabs>
          <w:tab w:val="num" w:pos="1021"/>
        </w:tabs>
        <w:ind w:left="1021" w:hanging="301"/>
      </w:pPr>
      <w:rPr>
        <w:rFonts w:ascii="Times New Roman" w:hAnsi="Times New Roman"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num w:numId="1">
    <w:abstractNumId w:val="25"/>
  </w:num>
  <w:num w:numId="2">
    <w:abstractNumId w:val="21"/>
  </w:num>
  <w:num w:numId="3">
    <w:abstractNumId w:val="17"/>
  </w:num>
  <w:num w:numId="4">
    <w:abstractNumId w:val="21"/>
  </w:num>
  <w:num w:numId="5">
    <w:abstractNumId w:val="25"/>
  </w:num>
  <w:num w:numId="6">
    <w:abstractNumId w:val="4"/>
  </w:num>
  <w:num w:numId="7">
    <w:abstractNumId w:val="0"/>
    <w:lvlOverride w:ilvl="0">
      <w:lvl w:ilvl="0">
        <w:start w:val="1"/>
        <w:numFmt w:val="bullet"/>
        <w:lvlText w:val=""/>
        <w:legacy w:legacy="1" w:legacySpace="0" w:legacyIndent="227"/>
        <w:lvlJc w:val="left"/>
        <w:pPr>
          <w:ind w:left="471" w:hanging="227"/>
        </w:pPr>
        <w:rPr>
          <w:rFonts w:ascii="Symbol" w:hAnsi="Symbol" w:hint="default"/>
        </w:rPr>
      </w:lvl>
    </w:lvlOverride>
  </w:num>
  <w:num w:numId="8">
    <w:abstractNumId w:val="0"/>
    <w:lvlOverride w:ilvl="0">
      <w:lvl w:ilvl="0">
        <w:start w:val="1"/>
        <w:numFmt w:val="bullet"/>
        <w:lvlText w:val=""/>
        <w:legacy w:legacy="1" w:legacySpace="0" w:legacyIndent="227"/>
        <w:lvlJc w:val="left"/>
        <w:pPr>
          <w:ind w:left="567" w:hanging="227"/>
        </w:pPr>
        <w:rPr>
          <w:rFonts w:ascii="Symbol" w:hAnsi="Symbol" w:hint="default"/>
        </w:rPr>
      </w:lvl>
    </w:lvlOverride>
  </w:num>
  <w:num w:numId="9">
    <w:abstractNumId w:val="24"/>
  </w:num>
  <w:num w:numId="10">
    <w:abstractNumId w:val="29"/>
  </w:num>
  <w:num w:numId="11">
    <w:abstractNumId w:val="24"/>
  </w:num>
  <w:num w:numId="12">
    <w:abstractNumId w:val="13"/>
  </w:num>
  <w:num w:numId="13">
    <w:abstractNumId w:val="18"/>
  </w:num>
  <w:num w:numId="14">
    <w:abstractNumId w:val="26"/>
  </w:num>
  <w:num w:numId="15">
    <w:abstractNumId w:val="2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9"/>
  </w:num>
  <w:num w:numId="21">
    <w:abstractNumId w:val="27"/>
  </w:num>
  <w:num w:numId="22">
    <w:abstractNumId w:val="2"/>
  </w:num>
  <w:num w:numId="23">
    <w:abstractNumId w:val="12"/>
  </w:num>
  <w:num w:numId="24">
    <w:abstractNumId w:val="14"/>
  </w:num>
  <w:num w:numId="25">
    <w:abstractNumId w:val="5"/>
  </w:num>
  <w:num w:numId="26">
    <w:abstractNumId w:val="7"/>
  </w:num>
  <w:num w:numId="27">
    <w:abstractNumId w:val="3"/>
  </w:num>
  <w:num w:numId="28">
    <w:abstractNumId w:val="10"/>
  </w:num>
  <w:num w:numId="29">
    <w:abstractNumId w:val="1"/>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saveSubsetFonts/>
  <w:hideSpellingErrors/>
  <w:hideGrammaticalErrors/>
  <w:proofState w:spelling="clean" w:grammar="clean"/>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revisionView w:inkAnnotations="0"/>
  <w:defaultTabStop w:val="720"/>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757"/>
    <w:rsid w:val="00003B2A"/>
    <w:rsid w:val="00004B4C"/>
    <w:rsid w:val="00005DFC"/>
    <w:rsid w:val="00006E0A"/>
    <w:rsid w:val="000102E0"/>
    <w:rsid w:val="000149C0"/>
    <w:rsid w:val="00014B20"/>
    <w:rsid w:val="00020013"/>
    <w:rsid w:val="0002020C"/>
    <w:rsid w:val="00021703"/>
    <w:rsid w:val="000246CC"/>
    <w:rsid w:val="0002502F"/>
    <w:rsid w:val="000265B1"/>
    <w:rsid w:val="00030D82"/>
    <w:rsid w:val="000316F1"/>
    <w:rsid w:val="000328B0"/>
    <w:rsid w:val="00032B36"/>
    <w:rsid w:val="0004182A"/>
    <w:rsid w:val="00042A22"/>
    <w:rsid w:val="000439CE"/>
    <w:rsid w:val="00043C52"/>
    <w:rsid w:val="000445EE"/>
    <w:rsid w:val="00047E55"/>
    <w:rsid w:val="00052575"/>
    <w:rsid w:val="00060375"/>
    <w:rsid w:val="00062141"/>
    <w:rsid w:val="000639A0"/>
    <w:rsid w:val="00064466"/>
    <w:rsid w:val="00072E7E"/>
    <w:rsid w:val="00085E25"/>
    <w:rsid w:val="00086C09"/>
    <w:rsid w:val="000913E0"/>
    <w:rsid w:val="0009624D"/>
    <w:rsid w:val="0009649D"/>
    <w:rsid w:val="0009680C"/>
    <w:rsid w:val="00096987"/>
    <w:rsid w:val="000A170F"/>
    <w:rsid w:val="000A480C"/>
    <w:rsid w:val="000A67DD"/>
    <w:rsid w:val="000B2083"/>
    <w:rsid w:val="000B3E72"/>
    <w:rsid w:val="000B550A"/>
    <w:rsid w:val="000B6504"/>
    <w:rsid w:val="000B670C"/>
    <w:rsid w:val="000C1C20"/>
    <w:rsid w:val="000C4389"/>
    <w:rsid w:val="000D0174"/>
    <w:rsid w:val="000D5A08"/>
    <w:rsid w:val="000E0AB9"/>
    <w:rsid w:val="000F3563"/>
    <w:rsid w:val="000F410D"/>
    <w:rsid w:val="000F5519"/>
    <w:rsid w:val="000F6083"/>
    <w:rsid w:val="000F7ED2"/>
    <w:rsid w:val="00104216"/>
    <w:rsid w:val="001052F1"/>
    <w:rsid w:val="0010680B"/>
    <w:rsid w:val="00107363"/>
    <w:rsid w:val="00117EA1"/>
    <w:rsid w:val="00122BC3"/>
    <w:rsid w:val="00123DE6"/>
    <w:rsid w:val="00124635"/>
    <w:rsid w:val="00125BAC"/>
    <w:rsid w:val="00131C7A"/>
    <w:rsid w:val="00133889"/>
    <w:rsid w:val="00133EDE"/>
    <w:rsid w:val="00135CD8"/>
    <w:rsid w:val="00137460"/>
    <w:rsid w:val="001436A9"/>
    <w:rsid w:val="00144057"/>
    <w:rsid w:val="00144836"/>
    <w:rsid w:val="00147D1E"/>
    <w:rsid w:val="00151A6E"/>
    <w:rsid w:val="00155A8C"/>
    <w:rsid w:val="00157143"/>
    <w:rsid w:val="001573EF"/>
    <w:rsid w:val="001606E8"/>
    <w:rsid w:val="001828BC"/>
    <w:rsid w:val="00183428"/>
    <w:rsid w:val="0018483D"/>
    <w:rsid w:val="001922CF"/>
    <w:rsid w:val="00193DFD"/>
    <w:rsid w:val="0019588C"/>
    <w:rsid w:val="001960D2"/>
    <w:rsid w:val="001B03F6"/>
    <w:rsid w:val="001B7852"/>
    <w:rsid w:val="001C0FD0"/>
    <w:rsid w:val="001C1667"/>
    <w:rsid w:val="001C245A"/>
    <w:rsid w:val="001C424C"/>
    <w:rsid w:val="001C7390"/>
    <w:rsid w:val="001C7B8B"/>
    <w:rsid w:val="001C7D65"/>
    <w:rsid w:val="001D60FA"/>
    <w:rsid w:val="001D61F7"/>
    <w:rsid w:val="001E346A"/>
    <w:rsid w:val="001E45E1"/>
    <w:rsid w:val="001E5DD0"/>
    <w:rsid w:val="001E5F62"/>
    <w:rsid w:val="001F3131"/>
    <w:rsid w:val="001F379E"/>
    <w:rsid w:val="001F4797"/>
    <w:rsid w:val="00203318"/>
    <w:rsid w:val="0021206B"/>
    <w:rsid w:val="002132BE"/>
    <w:rsid w:val="002140C4"/>
    <w:rsid w:val="002156A7"/>
    <w:rsid w:val="00230EB2"/>
    <w:rsid w:val="002312B2"/>
    <w:rsid w:val="00234C55"/>
    <w:rsid w:val="00237637"/>
    <w:rsid w:val="00237ECA"/>
    <w:rsid w:val="002455A0"/>
    <w:rsid w:val="00250648"/>
    <w:rsid w:val="00252BFA"/>
    <w:rsid w:val="00252E21"/>
    <w:rsid w:val="00253377"/>
    <w:rsid w:val="00260907"/>
    <w:rsid w:val="00274ACB"/>
    <w:rsid w:val="00276125"/>
    <w:rsid w:val="002763C4"/>
    <w:rsid w:val="00276E3A"/>
    <w:rsid w:val="00277581"/>
    <w:rsid w:val="00284F0C"/>
    <w:rsid w:val="00292AE2"/>
    <w:rsid w:val="00293782"/>
    <w:rsid w:val="0029486C"/>
    <w:rsid w:val="00296658"/>
    <w:rsid w:val="00297AF0"/>
    <w:rsid w:val="002A1C49"/>
    <w:rsid w:val="002A20A5"/>
    <w:rsid w:val="002A4820"/>
    <w:rsid w:val="002B0DCB"/>
    <w:rsid w:val="002B1F58"/>
    <w:rsid w:val="002B2655"/>
    <w:rsid w:val="002B6410"/>
    <w:rsid w:val="002C2813"/>
    <w:rsid w:val="002C7801"/>
    <w:rsid w:val="002D3F40"/>
    <w:rsid w:val="002D5FF3"/>
    <w:rsid w:val="002D6C1D"/>
    <w:rsid w:val="002E1F14"/>
    <w:rsid w:val="002E2BD5"/>
    <w:rsid w:val="002E614B"/>
    <w:rsid w:val="002E67EB"/>
    <w:rsid w:val="002E71B3"/>
    <w:rsid w:val="002F0980"/>
    <w:rsid w:val="002F290A"/>
    <w:rsid w:val="002F2BAD"/>
    <w:rsid w:val="00307673"/>
    <w:rsid w:val="0030771A"/>
    <w:rsid w:val="00312EF8"/>
    <w:rsid w:val="00313F02"/>
    <w:rsid w:val="00314BB5"/>
    <w:rsid w:val="003174FD"/>
    <w:rsid w:val="00331EEA"/>
    <w:rsid w:val="00336A06"/>
    <w:rsid w:val="00343F5D"/>
    <w:rsid w:val="00345AFE"/>
    <w:rsid w:val="00362F60"/>
    <w:rsid w:val="00364D1F"/>
    <w:rsid w:val="003673E8"/>
    <w:rsid w:val="00367EF0"/>
    <w:rsid w:val="00375A3E"/>
    <w:rsid w:val="0039076D"/>
    <w:rsid w:val="003947F6"/>
    <w:rsid w:val="003964B5"/>
    <w:rsid w:val="00397E7A"/>
    <w:rsid w:val="003A33A5"/>
    <w:rsid w:val="003C238B"/>
    <w:rsid w:val="003C4CC4"/>
    <w:rsid w:val="003C59F7"/>
    <w:rsid w:val="003D1351"/>
    <w:rsid w:val="003D1617"/>
    <w:rsid w:val="003D6327"/>
    <w:rsid w:val="003E1646"/>
    <w:rsid w:val="003E3C31"/>
    <w:rsid w:val="003E775A"/>
    <w:rsid w:val="003F1EC0"/>
    <w:rsid w:val="003F5457"/>
    <w:rsid w:val="0040164A"/>
    <w:rsid w:val="004058AC"/>
    <w:rsid w:val="00406D7A"/>
    <w:rsid w:val="00407261"/>
    <w:rsid w:val="004125AC"/>
    <w:rsid w:val="0042027B"/>
    <w:rsid w:val="00437DD5"/>
    <w:rsid w:val="00441B45"/>
    <w:rsid w:val="00442A8F"/>
    <w:rsid w:val="00442FF1"/>
    <w:rsid w:val="00443138"/>
    <w:rsid w:val="00450AF7"/>
    <w:rsid w:val="0045657B"/>
    <w:rsid w:val="004575C3"/>
    <w:rsid w:val="004619E9"/>
    <w:rsid w:val="004662FB"/>
    <w:rsid w:val="00475CCD"/>
    <w:rsid w:val="00491DF3"/>
    <w:rsid w:val="00492639"/>
    <w:rsid w:val="004928BB"/>
    <w:rsid w:val="00495538"/>
    <w:rsid w:val="00497A0F"/>
    <w:rsid w:val="004A12BA"/>
    <w:rsid w:val="004A4E45"/>
    <w:rsid w:val="004A5739"/>
    <w:rsid w:val="004B154F"/>
    <w:rsid w:val="004B294C"/>
    <w:rsid w:val="004B78AC"/>
    <w:rsid w:val="004C0DBD"/>
    <w:rsid w:val="004C1BE4"/>
    <w:rsid w:val="004C7FF1"/>
    <w:rsid w:val="004D01A3"/>
    <w:rsid w:val="004E060B"/>
    <w:rsid w:val="004E1629"/>
    <w:rsid w:val="004E2103"/>
    <w:rsid w:val="004F3838"/>
    <w:rsid w:val="004F6C1C"/>
    <w:rsid w:val="004F7C1D"/>
    <w:rsid w:val="00500638"/>
    <w:rsid w:val="00500B43"/>
    <w:rsid w:val="005044FE"/>
    <w:rsid w:val="005112E5"/>
    <w:rsid w:val="00513DEC"/>
    <w:rsid w:val="00513E52"/>
    <w:rsid w:val="005147CE"/>
    <w:rsid w:val="0051525E"/>
    <w:rsid w:val="00527E64"/>
    <w:rsid w:val="0053421E"/>
    <w:rsid w:val="005359CB"/>
    <w:rsid w:val="0054225B"/>
    <w:rsid w:val="005567A1"/>
    <w:rsid w:val="00566A18"/>
    <w:rsid w:val="00570BE5"/>
    <w:rsid w:val="00572689"/>
    <w:rsid w:val="0058315A"/>
    <w:rsid w:val="0058409C"/>
    <w:rsid w:val="00585906"/>
    <w:rsid w:val="00587178"/>
    <w:rsid w:val="00587388"/>
    <w:rsid w:val="0059280E"/>
    <w:rsid w:val="005A0B09"/>
    <w:rsid w:val="005A2687"/>
    <w:rsid w:val="005A3FF3"/>
    <w:rsid w:val="005A4900"/>
    <w:rsid w:val="005A71A5"/>
    <w:rsid w:val="005A7BCF"/>
    <w:rsid w:val="005B15BC"/>
    <w:rsid w:val="005B2D6E"/>
    <w:rsid w:val="005B3A1A"/>
    <w:rsid w:val="005C0684"/>
    <w:rsid w:val="005C1CA8"/>
    <w:rsid w:val="005C4157"/>
    <w:rsid w:val="005C4BDA"/>
    <w:rsid w:val="005C607C"/>
    <w:rsid w:val="005D04ED"/>
    <w:rsid w:val="005D5134"/>
    <w:rsid w:val="005D57ED"/>
    <w:rsid w:val="005E3757"/>
    <w:rsid w:val="005E4C3F"/>
    <w:rsid w:val="005F179B"/>
    <w:rsid w:val="005F6724"/>
    <w:rsid w:val="006036AF"/>
    <w:rsid w:val="00605644"/>
    <w:rsid w:val="00605BC6"/>
    <w:rsid w:val="0061032E"/>
    <w:rsid w:val="006155B4"/>
    <w:rsid w:val="006258F4"/>
    <w:rsid w:val="00626D86"/>
    <w:rsid w:val="00627453"/>
    <w:rsid w:val="00630205"/>
    <w:rsid w:val="006305DD"/>
    <w:rsid w:val="00631B9B"/>
    <w:rsid w:val="0063426F"/>
    <w:rsid w:val="006346DD"/>
    <w:rsid w:val="0064079F"/>
    <w:rsid w:val="006447B5"/>
    <w:rsid w:val="0064735A"/>
    <w:rsid w:val="006554CD"/>
    <w:rsid w:val="00655F6D"/>
    <w:rsid w:val="00671614"/>
    <w:rsid w:val="00671E6B"/>
    <w:rsid w:val="006736E0"/>
    <w:rsid w:val="00676A03"/>
    <w:rsid w:val="00681EF5"/>
    <w:rsid w:val="00686FEB"/>
    <w:rsid w:val="00697EBD"/>
    <w:rsid w:val="006A4C2A"/>
    <w:rsid w:val="006A5C1D"/>
    <w:rsid w:val="006B1B5C"/>
    <w:rsid w:val="006B23E6"/>
    <w:rsid w:val="006B5582"/>
    <w:rsid w:val="006C0860"/>
    <w:rsid w:val="006C0BBF"/>
    <w:rsid w:val="006C15C0"/>
    <w:rsid w:val="006C7314"/>
    <w:rsid w:val="006D1B01"/>
    <w:rsid w:val="006D28E3"/>
    <w:rsid w:val="006D2EB4"/>
    <w:rsid w:val="006D5A38"/>
    <w:rsid w:val="006D5D1D"/>
    <w:rsid w:val="006E1C5B"/>
    <w:rsid w:val="006E358D"/>
    <w:rsid w:val="006E423E"/>
    <w:rsid w:val="006E5F4D"/>
    <w:rsid w:val="007063D3"/>
    <w:rsid w:val="00712A06"/>
    <w:rsid w:val="00714D29"/>
    <w:rsid w:val="0071799A"/>
    <w:rsid w:val="00717B5F"/>
    <w:rsid w:val="00722D9A"/>
    <w:rsid w:val="00724066"/>
    <w:rsid w:val="00725515"/>
    <w:rsid w:val="00742BB5"/>
    <w:rsid w:val="007440BF"/>
    <w:rsid w:val="007708FF"/>
    <w:rsid w:val="007717EA"/>
    <w:rsid w:val="007747EB"/>
    <w:rsid w:val="0077545A"/>
    <w:rsid w:val="0077712A"/>
    <w:rsid w:val="0078172D"/>
    <w:rsid w:val="0078175C"/>
    <w:rsid w:val="00793352"/>
    <w:rsid w:val="007A29E4"/>
    <w:rsid w:val="007B4CCD"/>
    <w:rsid w:val="007C28B0"/>
    <w:rsid w:val="007D1C37"/>
    <w:rsid w:val="007D2FD4"/>
    <w:rsid w:val="007D3A7B"/>
    <w:rsid w:val="007D4E29"/>
    <w:rsid w:val="007E0579"/>
    <w:rsid w:val="007E15FB"/>
    <w:rsid w:val="007E26DA"/>
    <w:rsid w:val="007E33B8"/>
    <w:rsid w:val="007E5136"/>
    <w:rsid w:val="007E730E"/>
    <w:rsid w:val="007F174B"/>
    <w:rsid w:val="007F239E"/>
    <w:rsid w:val="007F7CA3"/>
    <w:rsid w:val="00800861"/>
    <w:rsid w:val="0080412F"/>
    <w:rsid w:val="008046CD"/>
    <w:rsid w:val="00810764"/>
    <w:rsid w:val="008148D7"/>
    <w:rsid w:val="0081602D"/>
    <w:rsid w:val="00817FBF"/>
    <w:rsid w:val="0082040F"/>
    <w:rsid w:val="00822969"/>
    <w:rsid w:val="00835CF0"/>
    <w:rsid w:val="00841B3B"/>
    <w:rsid w:val="0084653B"/>
    <w:rsid w:val="00846CF8"/>
    <w:rsid w:val="00852AC0"/>
    <w:rsid w:val="008609B5"/>
    <w:rsid w:val="00862882"/>
    <w:rsid w:val="00877F43"/>
    <w:rsid w:val="008857FE"/>
    <w:rsid w:val="0089453D"/>
    <w:rsid w:val="008A23DB"/>
    <w:rsid w:val="008C6D7C"/>
    <w:rsid w:val="008D2901"/>
    <w:rsid w:val="008D2CC3"/>
    <w:rsid w:val="008D3131"/>
    <w:rsid w:val="008D5C68"/>
    <w:rsid w:val="008D5EC7"/>
    <w:rsid w:val="008D6B76"/>
    <w:rsid w:val="008E1F7F"/>
    <w:rsid w:val="008E5C55"/>
    <w:rsid w:val="008E748A"/>
    <w:rsid w:val="008F175A"/>
    <w:rsid w:val="008F56DB"/>
    <w:rsid w:val="008F71E4"/>
    <w:rsid w:val="00907997"/>
    <w:rsid w:val="0091768C"/>
    <w:rsid w:val="0092099F"/>
    <w:rsid w:val="0092201F"/>
    <w:rsid w:val="00925497"/>
    <w:rsid w:val="009311FF"/>
    <w:rsid w:val="00931F3A"/>
    <w:rsid w:val="00934D1F"/>
    <w:rsid w:val="00950514"/>
    <w:rsid w:val="009550A4"/>
    <w:rsid w:val="00961874"/>
    <w:rsid w:val="00965D5B"/>
    <w:rsid w:val="009777C4"/>
    <w:rsid w:val="00983492"/>
    <w:rsid w:val="0099106D"/>
    <w:rsid w:val="0099162B"/>
    <w:rsid w:val="00991AA1"/>
    <w:rsid w:val="00992E88"/>
    <w:rsid w:val="00994504"/>
    <w:rsid w:val="00997922"/>
    <w:rsid w:val="009A24E5"/>
    <w:rsid w:val="009B02B8"/>
    <w:rsid w:val="009B0686"/>
    <w:rsid w:val="009B5933"/>
    <w:rsid w:val="009B5A73"/>
    <w:rsid w:val="009B7111"/>
    <w:rsid w:val="009C0257"/>
    <w:rsid w:val="009C303F"/>
    <w:rsid w:val="009C3AEC"/>
    <w:rsid w:val="009C53F2"/>
    <w:rsid w:val="009D2527"/>
    <w:rsid w:val="009E4843"/>
    <w:rsid w:val="009E5C52"/>
    <w:rsid w:val="009E5EEB"/>
    <w:rsid w:val="009F290D"/>
    <w:rsid w:val="00A0008B"/>
    <w:rsid w:val="00A02A08"/>
    <w:rsid w:val="00A02C95"/>
    <w:rsid w:val="00A03682"/>
    <w:rsid w:val="00A03E10"/>
    <w:rsid w:val="00A06194"/>
    <w:rsid w:val="00A124D7"/>
    <w:rsid w:val="00A14DEA"/>
    <w:rsid w:val="00A172D2"/>
    <w:rsid w:val="00A30654"/>
    <w:rsid w:val="00A4310C"/>
    <w:rsid w:val="00A43139"/>
    <w:rsid w:val="00A457EA"/>
    <w:rsid w:val="00A47853"/>
    <w:rsid w:val="00A52D44"/>
    <w:rsid w:val="00A56E68"/>
    <w:rsid w:val="00A617FB"/>
    <w:rsid w:val="00A61A1B"/>
    <w:rsid w:val="00A627A4"/>
    <w:rsid w:val="00A627C4"/>
    <w:rsid w:val="00A62A2D"/>
    <w:rsid w:val="00A70AC2"/>
    <w:rsid w:val="00A727C9"/>
    <w:rsid w:val="00A76ABE"/>
    <w:rsid w:val="00A8293B"/>
    <w:rsid w:val="00A85A3E"/>
    <w:rsid w:val="00A91B90"/>
    <w:rsid w:val="00A93C78"/>
    <w:rsid w:val="00AA11A3"/>
    <w:rsid w:val="00AA1214"/>
    <w:rsid w:val="00AA18FD"/>
    <w:rsid w:val="00AA6A78"/>
    <w:rsid w:val="00AA76D8"/>
    <w:rsid w:val="00AB3419"/>
    <w:rsid w:val="00AB3F96"/>
    <w:rsid w:val="00AC3373"/>
    <w:rsid w:val="00AE0CB0"/>
    <w:rsid w:val="00AE1959"/>
    <w:rsid w:val="00AE7B87"/>
    <w:rsid w:val="00AE7F3E"/>
    <w:rsid w:val="00AF1584"/>
    <w:rsid w:val="00AF1B9C"/>
    <w:rsid w:val="00AF2CC6"/>
    <w:rsid w:val="00AF7784"/>
    <w:rsid w:val="00B00756"/>
    <w:rsid w:val="00B0087A"/>
    <w:rsid w:val="00B06949"/>
    <w:rsid w:val="00B07BBF"/>
    <w:rsid w:val="00B1015A"/>
    <w:rsid w:val="00B101D2"/>
    <w:rsid w:val="00B20C6C"/>
    <w:rsid w:val="00B227E6"/>
    <w:rsid w:val="00B31F98"/>
    <w:rsid w:val="00B338E4"/>
    <w:rsid w:val="00B37F65"/>
    <w:rsid w:val="00B50423"/>
    <w:rsid w:val="00B5237C"/>
    <w:rsid w:val="00B56416"/>
    <w:rsid w:val="00B57E57"/>
    <w:rsid w:val="00B678F9"/>
    <w:rsid w:val="00B778B2"/>
    <w:rsid w:val="00B803E5"/>
    <w:rsid w:val="00B84BC4"/>
    <w:rsid w:val="00B9341E"/>
    <w:rsid w:val="00B93931"/>
    <w:rsid w:val="00BA3C81"/>
    <w:rsid w:val="00BA3D32"/>
    <w:rsid w:val="00BA7CB1"/>
    <w:rsid w:val="00BB1572"/>
    <w:rsid w:val="00BB3DCA"/>
    <w:rsid w:val="00BB412B"/>
    <w:rsid w:val="00BB6AFD"/>
    <w:rsid w:val="00BC01D5"/>
    <w:rsid w:val="00BC36AE"/>
    <w:rsid w:val="00BC466F"/>
    <w:rsid w:val="00BC5813"/>
    <w:rsid w:val="00BD158B"/>
    <w:rsid w:val="00BD2974"/>
    <w:rsid w:val="00BD4F94"/>
    <w:rsid w:val="00BD66DF"/>
    <w:rsid w:val="00BD6D88"/>
    <w:rsid w:val="00BF2E9B"/>
    <w:rsid w:val="00BF3834"/>
    <w:rsid w:val="00BF3D0A"/>
    <w:rsid w:val="00C01EBF"/>
    <w:rsid w:val="00C029B7"/>
    <w:rsid w:val="00C10741"/>
    <w:rsid w:val="00C1155F"/>
    <w:rsid w:val="00C17B76"/>
    <w:rsid w:val="00C21720"/>
    <w:rsid w:val="00C265C3"/>
    <w:rsid w:val="00C30150"/>
    <w:rsid w:val="00C32F73"/>
    <w:rsid w:val="00C40580"/>
    <w:rsid w:val="00C42E7B"/>
    <w:rsid w:val="00C45213"/>
    <w:rsid w:val="00C519AE"/>
    <w:rsid w:val="00C54F38"/>
    <w:rsid w:val="00C552EB"/>
    <w:rsid w:val="00C60E30"/>
    <w:rsid w:val="00C70595"/>
    <w:rsid w:val="00C71C05"/>
    <w:rsid w:val="00C74124"/>
    <w:rsid w:val="00C7749C"/>
    <w:rsid w:val="00C77F43"/>
    <w:rsid w:val="00C84620"/>
    <w:rsid w:val="00C8515C"/>
    <w:rsid w:val="00C87783"/>
    <w:rsid w:val="00C918EA"/>
    <w:rsid w:val="00C92AF6"/>
    <w:rsid w:val="00C92FD3"/>
    <w:rsid w:val="00C95B43"/>
    <w:rsid w:val="00CA08E2"/>
    <w:rsid w:val="00CA26E9"/>
    <w:rsid w:val="00CA677F"/>
    <w:rsid w:val="00CB3D65"/>
    <w:rsid w:val="00CB4260"/>
    <w:rsid w:val="00CB5B4B"/>
    <w:rsid w:val="00CB73DF"/>
    <w:rsid w:val="00CC0E4A"/>
    <w:rsid w:val="00CC0FB2"/>
    <w:rsid w:val="00CC436D"/>
    <w:rsid w:val="00CC4E02"/>
    <w:rsid w:val="00CC6E34"/>
    <w:rsid w:val="00CD0257"/>
    <w:rsid w:val="00CD563C"/>
    <w:rsid w:val="00CD7110"/>
    <w:rsid w:val="00CE18B0"/>
    <w:rsid w:val="00CE314E"/>
    <w:rsid w:val="00CF0365"/>
    <w:rsid w:val="00CF372D"/>
    <w:rsid w:val="00CF4A4D"/>
    <w:rsid w:val="00CF7013"/>
    <w:rsid w:val="00D03384"/>
    <w:rsid w:val="00D06D14"/>
    <w:rsid w:val="00D1265B"/>
    <w:rsid w:val="00D17F81"/>
    <w:rsid w:val="00D26A1F"/>
    <w:rsid w:val="00D275E1"/>
    <w:rsid w:val="00D32B1D"/>
    <w:rsid w:val="00D35BE6"/>
    <w:rsid w:val="00D44FC5"/>
    <w:rsid w:val="00D47812"/>
    <w:rsid w:val="00D56372"/>
    <w:rsid w:val="00D565A2"/>
    <w:rsid w:val="00D56663"/>
    <w:rsid w:val="00D617E1"/>
    <w:rsid w:val="00D76FB1"/>
    <w:rsid w:val="00D80690"/>
    <w:rsid w:val="00D837F7"/>
    <w:rsid w:val="00D86424"/>
    <w:rsid w:val="00D9309B"/>
    <w:rsid w:val="00D967A0"/>
    <w:rsid w:val="00DA4E53"/>
    <w:rsid w:val="00DA53C4"/>
    <w:rsid w:val="00DA700C"/>
    <w:rsid w:val="00DB0997"/>
    <w:rsid w:val="00DC6768"/>
    <w:rsid w:val="00DC6B2E"/>
    <w:rsid w:val="00DD21D6"/>
    <w:rsid w:val="00DD3FF0"/>
    <w:rsid w:val="00DD4EB8"/>
    <w:rsid w:val="00DD56D4"/>
    <w:rsid w:val="00DD770B"/>
    <w:rsid w:val="00DE3A5F"/>
    <w:rsid w:val="00DE4ED3"/>
    <w:rsid w:val="00DE6D98"/>
    <w:rsid w:val="00DF0642"/>
    <w:rsid w:val="00DF21F0"/>
    <w:rsid w:val="00DF7A8D"/>
    <w:rsid w:val="00E02505"/>
    <w:rsid w:val="00E04084"/>
    <w:rsid w:val="00E05B05"/>
    <w:rsid w:val="00E0724A"/>
    <w:rsid w:val="00E108ED"/>
    <w:rsid w:val="00E15AF3"/>
    <w:rsid w:val="00E15BA8"/>
    <w:rsid w:val="00E21096"/>
    <w:rsid w:val="00E24A2F"/>
    <w:rsid w:val="00E24EB4"/>
    <w:rsid w:val="00E312E1"/>
    <w:rsid w:val="00E343A0"/>
    <w:rsid w:val="00E37B84"/>
    <w:rsid w:val="00E4132E"/>
    <w:rsid w:val="00E41CEE"/>
    <w:rsid w:val="00E42733"/>
    <w:rsid w:val="00E5575B"/>
    <w:rsid w:val="00E6257E"/>
    <w:rsid w:val="00E678EF"/>
    <w:rsid w:val="00E732F5"/>
    <w:rsid w:val="00E73F9E"/>
    <w:rsid w:val="00E7569F"/>
    <w:rsid w:val="00E76765"/>
    <w:rsid w:val="00E82D2D"/>
    <w:rsid w:val="00E8360C"/>
    <w:rsid w:val="00E8501D"/>
    <w:rsid w:val="00E86338"/>
    <w:rsid w:val="00E90BCD"/>
    <w:rsid w:val="00E955E9"/>
    <w:rsid w:val="00EA1BE7"/>
    <w:rsid w:val="00EA57AA"/>
    <w:rsid w:val="00EA633E"/>
    <w:rsid w:val="00EA69D0"/>
    <w:rsid w:val="00EB2308"/>
    <w:rsid w:val="00EB33C9"/>
    <w:rsid w:val="00EC00B1"/>
    <w:rsid w:val="00EC0117"/>
    <w:rsid w:val="00EC2829"/>
    <w:rsid w:val="00EC40A9"/>
    <w:rsid w:val="00EC5DA7"/>
    <w:rsid w:val="00ED42CA"/>
    <w:rsid w:val="00ED4728"/>
    <w:rsid w:val="00ED7CB7"/>
    <w:rsid w:val="00EE45FA"/>
    <w:rsid w:val="00EE4721"/>
    <w:rsid w:val="00EE7BD6"/>
    <w:rsid w:val="00EF113D"/>
    <w:rsid w:val="00EF3487"/>
    <w:rsid w:val="00EF45E6"/>
    <w:rsid w:val="00EF7A55"/>
    <w:rsid w:val="00F033B7"/>
    <w:rsid w:val="00F067EE"/>
    <w:rsid w:val="00F06F31"/>
    <w:rsid w:val="00F11630"/>
    <w:rsid w:val="00F12FA7"/>
    <w:rsid w:val="00F13B47"/>
    <w:rsid w:val="00F2009C"/>
    <w:rsid w:val="00F269E3"/>
    <w:rsid w:val="00F26ADE"/>
    <w:rsid w:val="00F30197"/>
    <w:rsid w:val="00F32240"/>
    <w:rsid w:val="00F4011F"/>
    <w:rsid w:val="00F4318C"/>
    <w:rsid w:val="00F453E8"/>
    <w:rsid w:val="00F478A0"/>
    <w:rsid w:val="00F47AE0"/>
    <w:rsid w:val="00F578A3"/>
    <w:rsid w:val="00F601F4"/>
    <w:rsid w:val="00F6035E"/>
    <w:rsid w:val="00F60A99"/>
    <w:rsid w:val="00F77E80"/>
    <w:rsid w:val="00F84B52"/>
    <w:rsid w:val="00F86196"/>
    <w:rsid w:val="00F87917"/>
    <w:rsid w:val="00F91F58"/>
    <w:rsid w:val="00F92286"/>
    <w:rsid w:val="00F923A9"/>
    <w:rsid w:val="00F9435A"/>
    <w:rsid w:val="00F951E8"/>
    <w:rsid w:val="00F95358"/>
    <w:rsid w:val="00F95CA3"/>
    <w:rsid w:val="00FA2382"/>
    <w:rsid w:val="00FA35F7"/>
    <w:rsid w:val="00FA5CCF"/>
    <w:rsid w:val="00FB3F92"/>
    <w:rsid w:val="00FB5ED1"/>
    <w:rsid w:val="00FC3339"/>
    <w:rsid w:val="00FC4E36"/>
    <w:rsid w:val="00FD0E2B"/>
    <w:rsid w:val="00FD0F7F"/>
    <w:rsid w:val="00FD2709"/>
    <w:rsid w:val="00FD38DD"/>
    <w:rsid w:val="00FD411B"/>
    <w:rsid w:val="00FD77C4"/>
    <w:rsid w:val="00FD7DB2"/>
    <w:rsid w:val="00FE15C5"/>
    <w:rsid w:val="00FE2BA4"/>
    <w:rsid w:val="00FE3B01"/>
    <w:rsid w:val="00FE3B89"/>
    <w:rsid w:val="00FE44E2"/>
    <w:rsid w:val="00FE60C2"/>
    <w:rsid w:val="00FF1179"/>
    <w:rsid w:val="00FF1DB1"/>
    <w:rsid w:val="00FF2DCD"/>
    <w:rsid w:val="00FF41B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EB5F452"/>
  <w15:chartTrackingRefBased/>
  <w15:docId w15:val="{D08B8104-7C87-4800-A7E1-1677F29C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Tekst"/>
    <w:qFormat/>
    <w:rsid w:val="009B5A73"/>
    <w:pPr>
      <w:widowControl w:val="0"/>
      <w:spacing w:after="240"/>
      <w:jc w:val="both"/>
    </w:pPr>
    <w:rPr>
      <w:rFonts w:ascii="Arial" w:hAnsi="Arial"/>
      <w:sz w:val="22"/>
      <w:szCs w:val="22"/>
      <w:lang w:val="sr-Latn-CS" w:eastAsia="en-US"/>
    </w:rPr>
  </w:style>
  <w:style w:type="paragraph" w:styleId="Heading1">
    <w:name w:val="heading 1"/>
    <w:basedOn w:val="Normal"/>
    <w:next w:val="Normal"/>
    <w:link w:val="Heading1Char"/>
    <w:qFormat/>
    <w:rsid w:val="009B5A73"/>
    <w:pPr>
      <w:keepNext/>
      <w:numPr>
        <w:numId w:val="6"/>
      </w:numPr>
      <w:tabs>
        <w:tab w:val="left" w:pos="340"/>
      </w:tabs>
      <w:spacing w:before="720"/>
      <w:jc w:val="left"/>
      <w:outlineLvl w:val="0"/>
    </w:pPr>
    <w:rPr>
      <w:rFonts w:cs="Arial"/>
      <w:b/>
      <w:bCs/>
      <w:caps/>
      <w:sz w:val="24"/>
      <w:szCs w:val="24"/>
    </w:rPr>
  </w:style>
  <w:style w:type="paragraph" w:styleId="Heading2">
    <w:name w:val="heading 2"/>
    <w:basedOn w:val="Normal"/>
    <w:next w:val="Normal"/>
    <w:qFormat/>
    <w:rsid w:val="009B5A73"/>
    <w:pPr>
      <w:keepNext/>
      <w:numPr>
        <w:ilvl w:val="1"/>
        <w:numId w:val="6"/>
      </w:numPr>
      <w:tabs>
        <w:tab w:val="left" w:pos="680"/>
      </w:tabs>
      <w:spacing w:before="480"/>
      <w:jc w:val="left"/>
      <w:outlineLvl w:val="1"/>
    </w:pPr>
    <w:rPr>
      <w:rFonts w:cs="Arial"/>
      <w:b/>
      <w:bCs/>
      <w:iCs/>
      <w:sz w:val="24"/>
      <w:szCs w:val="24"/>
    </w:rPr>
  </w:style>
  <w:style w:type="paragraph" w:styleId="Heading3">
    <w:name w:val="heading 3"/>
    <w:basedOn w:val="Heading2"/>
    <w:next w:val="Normal"/>
    <w:qFormat/>
    <w:rsid w:val="007063D3"/>
    <w:pPr>
      <w:numPr>
        <w:ilvl w:val="2"/>
      </w:numPr>
      <w:tabs>
        <w:tab w:val="clear" w:pos="680"/>
        <w:tab w:val="left" w:pos="794"/>
      </w:tabs>
      <w:outlineLvl w:val="2"/>
    </w:pPr>
    <w:rPr>
      <w:b w:val="0"/>
      <w:bCs w:val="0"/>
      <w:sz w:val="22"/>
      <w:szCs w:val="22"/>
    </w:rPr>
  </w:style>
  <w:style w:type="paragraph" w:styleId="Heading4">
    <w:name w:val="heading 4"/>
    <w:basedOn w:val="Normal"/>
    <w:next w:val="Normal"/>
    <w:qFormat/>
    <w:rsid w:val="00CD563C"/>
    <w:pPr>
      <w:keepNext/>
      <w:tabs>
        <w:tab w:val="left" w:pos="2268"/>
      </w:tabs>
      <w:spacing w:before="480"/>
      <w:ind w:left="2268" w:hanging="2268"/>
      <w:jc w:val="left"/>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237C"/>
    <w:pPr>
      <w:spacing w:after="0"/>
      <w:jc w:val="center"/>
    </w:pPr>
    <w:rPr>
      <w:rFonts w:ascii="Century Gothic" w:hAnsi="Century Gothic"/>
      <w:sz w:val="18"/>
      <w:szCs w:val="18"/>
    </w:rPr>
  </w:style>
  <w:style w:type="paragraph" w:customStyle="1" w:styleId="Rezime">
    <w:name w:val="Rezime"/>
    <w:basedOn w:val="Normal"/>
    <w:rsid w:val="00237637"/>
    <w:pPr>
      <w:ind w:left="3119"/>
    </w:pPr>
    <w:rPr>
      <w:rFonts w:cs="Arial"/>
      <w:i/>
      <w:iCs/>
      <w:sz w:val="20"/>
      <w:szCs w:val="20"/>
    </w:rPr>
  </w:style>
  <w:style w:type="paragraph" w:styleId="FootnoteText">
    <w:name w:val="footnote text"/>
    <w:basedOn w:val="Normal"/>
    <w:link w:val="FootnoteTextChar"/>
    <w:rsid w:val="00513E52"/>
    <w:pPr>
      <w:tabs>
        <w:tab w:val="left" w:pos="227"/>
      </w:tabs>
      <w:spacing w:after="0"/>
      <w:ind w:left="227" w:hanging="227"/>
    </w:pPr>
    <w:rPr>
      <w:rFonts w:cs="Arial"/>
      <w:sz w:val="16"/>
      <w:szCs w:val="16"/>
    </w:rPr>
  </w:style>
  <w:style w:type="character" w:styleId="FootnoteReference">
    <w:name w:val="footnote reference"/>
    <w:semiHidden/>
    <w:rsid w:val="005A7BCF"/>
    <w:rPr>
      <w:rFonts w:ascii="Arial" w:hAnsi="Arial"/>
      <w:sz w:val="22"/>
      <w:szCs w:val="22"/>
      <w:vertAlign w:val="superscript"/>
    </w:rPr>
  </w:style>
  <w:style w:type="character" w:customStyle="1" w:styleId="FootnoteTextChar">
    <w:name w:val="Footnote Text Char"/>
    <w:link w:val="FootnoteText"/>
    <w:rsid w:val="006554CD"/>
    <w:rPr>
      <w:rFonts w:ascii="Arial" w:hAnsi="Arial" w:cs="Arial"/>
      <w:sz w:val="16"/>
      <w:szCs w:val="16"/>
      <w:lang w:val="sr-Cyrl-CS" w:eastAsia="en-US" w:bidi="ar-SA"/>
    </w:rPr>
  </w:style>
  <w:style w:type="paragraph" w:customStyle="1" w:styleId="Primer">
    <w:name w:val="Primer"/>
    <w:basedOn w:val="Normal"/>
    <w:rsid w:val="00003B2A"/>
    <w:pPr>
      <w:spacing w:after="160"/>
    </w:pPr>
    <w:rPr>
      <w:b/>
      <w:i/>
      <w:sz w:val="18"/>
      <w:szCs w:val="18"/>
    </w:rPr>
  </w:style>
  <w:style w:type="character" w:styleId="Hyperlink">
    <w:name w:val="Hyperlink"/>
    <w:uiPriority w:val="99"/>
    <w:rsid w:val="0063426F"/>
    <w:rPr>
      <w:rFonts w:ascii="Arial" w:hAnsi="Arial"/>
      <w:color w:val="0000FF"/>
      <w:sz w:val="16"/>
      <w:szCs w:val="16"/>
      <w:u w:val="single"/>
    </w:rPr>
  </w:style>
  <w:style w:type="paragraph" w:customStyle="1" w:styleId="Item">
    <w:name w:val="Item"/>
    <w:basedOn w:val="Normal"/>
    <w:rsid w:val="009B5A73"/>
    <w:pPr>
      <w:tabs>
        <w:tab w:val="left" w:pos="227"/>
      </w:tabs>
      <w:overflowPunct w:val="0"/>
      <w:autoSpaceDE w:val="0"/>
      <w:autoSpaceDN w:val="0"/>
      <w:adjustRightInd w:val="0"/>
      <w:ind w:left="680" w:hanging="340"/>
      <w:contextualSpacing/>
      <w:textAlignment w:val="baseline"/>
    </w:pPr>
    <w:rPr>
      <w:lang w:eastAsia="ko-KR"/>
    </w:rPr>
  </w:style>
  <w:style w:type="paragraph" w:customStyle="1" w:styleId="BulletItem">
    <w:name w:val="Bullet Item"/>
    <w:basedOn w:val="Item"/>
    <w:rsid w:val="00C87783"/>
    <w:pPr>
      <w:ind w:left="584"/>
    </w:pPr>
  </w:style>
  <w:style w:type="paragraph" w:customStyle="1" w:styleId="Nabrajanjebrojevi">
    <w:name w:val="Nabrajanje brojevi"/>
    <w:basedOn w:val="Item"/>
    <w:rsid w:val="00AF1B9C"/>
    <w:pPr>
      <w:numPr>
        <w:numId w:val="4"/>
      </w:numPr>
      <w:tabs>
        <w:tab w:val="clear" w:pos="227"/>
      </w:tabs>
    </w:pPr>
  </w:style>
  <w:style w:type="paragraph" w:customStyle="1" w:styleId="Autor">
    <w:name w:val="Autor"/>
    <w:basedOn w:val="Normal"/>
    <w:rsid w:val="00B93931"/>
    <w:pPr>
      <w:spacing w:before="2640" w:after="1440"/>
      <w:jc w:val="center"/>
    </w:pPr>
    <w:rPr>
      <w:rFonts w:cs="Arial"/>
      <w:b/>
      <w:color w:val="000000"/>
      <w:sz w:val="20"/>
      <w:szCs w:val="20"/>
    </w:rPr>
  </w:style>
  <w:style w:type="paragraph" w:customStyle="1" w:styleId="KljucneReci">
    <w:name w:val="KljucneReci"/>
    <w:basedOn w:val="Normal"/>
    <w:rsid w:val="000B6504"/>
    <w:pPr>
      <w:tabs>
        <w:tab w:val="left" w:pos="1701"/>
      </w:tabs>
      <w:ind w:left="4820" w:hanging="1701"/>
      <w:jc w:val="left"/>
    </w:pPr>
    <w:rPr>
      <w:rFonts w:cs="Arial"/>
      <w:caps/>
      <w:sz w:val="20"/>
      <w:szCs w:val="20"/>
    </w:rPr>
  </w:style>
  <w:style w:type="table" w:styleId="TableGrid">
    <w:name w:val="Table Grid"/>
    <w:basedOn w:val="TableNormal"/>
    <w:rsid w:val="0060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slova">
    <w:name w:val="nabrajanje slova"/>
    <w:basedOn w:val="Normal"/>
    <w:rsid w:val="00032B36"/>
    <w:pPr>
      <w:numPr>
        <w:numId w:val="15"/>
      </w:numPr>
      <w:spacing w:after="60"/>
      <w:contextualSpacing/>
    </w:pPr>
  </w:style>
  <w:style w:type="paragraph" w:customStyle="1" w:styleId="Naslov">
    <w:name w:val="Naslov"/>
    <w:basedOn w:val="Normal"/>
    <w:rsid w:val="005C1CA8"/>
    <w:pPr>
      <w:spacing w:before="240"/>
      <w:jc w:val="center"/>
    </w:pPr>
    <w:rPr>
      <w:rFonts w:eastAsia="Arial Unicode MS" w:cs="Arial"/>
      <w:b/>
      <w:caps/>
      <w:w w:val="90"/>
      <w:sz w:val="28"/>
      <w:szCs w:val="28"/>
    </w:rPr>
  </w:style>
  <w:style w:type="paragraph" w:customStyle="1" w:styleId="Literatura">
    <w:name w:val="Literatura"/>
    <w:basedOn w:val="Normal"/>
    <w:rsid w:val="00DD3FF0"/>
    <w:pPr>
      <w:numPr>
        <w:numId w:val="3"/>
      </w:numPr>
      <w:spacing w:after="120"/>
    </w:pPr>
    <w:rPr>
      <w:rFonts w:cs="Arial"/>
      <w:sz w:val="18"/>
      <w:szCs w:val="18"/>
    </w:rPr>
  </w:style>
  <w:style w:type="paragraph" w:customStyle="1" w:styleId="naslovtabele">
    <w:name w:val="naslov tabele"/>
    <w:basedOn w:val="Normal"/>
    <w:rsid w:val="00336A06"/>
    <w:pPr>
      <w:keepNext/>
      <w:keepLines/>
      <w:spacing w:before="240" w:after="120"/>
      <w:jc w:val="center"/>
    </w:pPr>
    <w:rPr>
      <w:sz w:val="20"/>
      <w:szCs w:val="20"/>
    </w:rPr>
  </w:style>
  <w:style w:type="paragraph" w:customStyle="1" w:styleId="Potpisslike">
    <w:name w:val="Potpis slike"/>
    <w:basedOn w:val="Normal"/>
    <w:rsid w:val="00DD4EB8"/>
    <w:pPr>
      <w:spacing w:before="120" w:after="360"/>
      <w:jc w:val="center"/>
    </w:pPr>
    <w:rPr>
      <w:sz w:val="20"/>
      <w:szCs w:val="20"/>
      <w:lang w:eastAsia="sr-Latn-CS"/>
    </w:rPr>
  </w:style>
  <w:style w:type="paragraph" w:customStyle="1" w:styleId="Slika">
    <w:name w:val="Slika"/>
    <w:basedOn w:val="Normal"/>
    <w:rsid w:val="005A7BCF"/>
    <w:pPr>
      <w:keepNext/>
      <w:spacing w:after="0"/>
      <w:jc w:val="center"/>
    </w:pPr>
    <w:rPr>
      <w:rFonts w:cs="Arial"/>
    </w:rPr>
  </w:style>
  <w:style w:type="character" w:styleId="PageNumber">
    <w:name w:val="page number"/>
    <w:rsid w:val="0002502F"/>
    <w:rPr>
      <w:rFonts w:ascii="Century Gothic" w:hAnsi="Century Gothic"/>
      <w:b/>
      <w:sz w:val="24"/>
      <w:szCs w:val="24"/>
    </w:rPr>
  </w:style>
  <w:style w:type="paragraph" w:styleId="Footer">
    <w:name w:val="footer"/>
    <w:basedOn w:val="Normal"/>
    <w:link w:val="FooterChar"/>
    <w:uiPriority w:val="99"/>
    <w:rsid w:val="005C1CA8"/>
    <w:pPr>
      <w:spacing w:after="0"/>
      <w:jc w:val="center"/>
    </w:pPr>
    <w:rPr>
      <w:rFonts w:ascii="Century Gothic" w:hAnsi="Century Gothic"/>
      <w:sz w:val="18"/>
      <w:szCs w:val="18"/>
    </w:rPr>
  </w:style>
  <w:style w:type="paragraph" w:customStyle="1" w:styleId="Podaci">
    <w:name w:val="Podaci"/>
    <w:basedOn w:val="Normal"/>
    <w:rsid w:val="00DD4EB8"/>
    <w:pPr>
      <w:spacing w:after="0"/>
      <w:jc w:val="left"/>
    </w:pPr>
    <w:rPr>
      <w:sz w:val="18"/>
      <w:szCs w:val="18"/>
    </w:rPr>
  </w:style>
  <w:style w:type="paragraph" w:customStyle="1" w:styleId="Formule">
    <w:name w:val="Formule"/>
    <w:basedOn w:val="Normal"/>
    <w:rsid w:val="00FA2382"/>
    <w:pPr>
      <w:tabs>
        <w:tab w:val="left" w:pos="7938"/>
      </w:tabs>
      <w:ind w:left="1418"/>
      <w:jc w:val="left"/>
    </w:pPr>
    <w:rPr>
      <w:rFonts w:cs="Arial"/>
    </w:rPr>
  </w:style>
  <w:style w:type="paragraph" w:customStyle="1" w:styleId="Institucija">
    <w:name w:val="Institucija"/>
    <w:basedOn w:val="Normal"/>
    <w:rsid w:val="00DE6D98"/>
    <w:pPr>
      <w:tabs>
        <w:tab w:val="left" w:pos="227"/>
      </w:tabs>
      <w:spacing w:after="0"/>
      <w:ind w:left="227" w:hanging="227"/>
    </w:pPr>
    <w:rPr>
      <w:sz w:val="16"/>
      <w:szCs w:val="16"/>
    </w:rPr>
  </w:style>
  <w:style w:type="character" w:customStyle="1" w:styleId="Heading1Char">
    <w:name w:val="Heading 1 Char"/>
    <w:link w:val="Heading1"/>
    <w:rsid w:val="0099162B"/>
    <w:rPr>
      <w:rFonts w:ascii="Arial" w:hAnsi="Arial" w:cs="Arial"/>
      <w:b/>
      <w:bCs/>
      <w:caps/>
      <w:sz w:val="24"/>
      <w:szCs w:val="24"/>
      <w:lang w:val="sr-Latn-CS"/>
    </w:rPr>
  </w:style>
  <w:style w:type="character" w:customStyle="1" w:styleId="FontStyle31">
    <w:name w:val="Font Style31"/>
    <w:uiPriority w:val="99"/>
    <w:rsid w:val="0099162B"/>
    <w:rPr>
      <w:rFonts w:ascii="Times New Roman" w:hAnsi="Times New Roman" w:cs="Times New Roman" w:hint="default"/>
      <w:sz w:val="20"/>
      <w:szCs w:val="20"/>
    </w:rPr>
  </w:style>
  <w:style w:type="character" w:customStyle="1" w:styleId="fontstyle01">
    <w:name w:val="fontstyle01"/>
    <w:rsid w:val="0099162B"/>
    <w:rPr>
      <w:rFonts w:ascii="81qbholgdpfugch" w:hAnsi="81qbholgdpfugch" w:hint="default"/>
      <w:b w:val="0"/>
      <w:bCs w:val="0"/>
      <w:i w:val="0"/>
      <w:iCs w:val="0"/>
      <w:color w:val="000000"/>
      <w:sz w:val="18"/>
      <w:szCs w:val="18"/>
    </w:rPr>
  </w:style>
  <w:style w:type="character" w:customStyle="1" w:styleId="FontStyle30">
    <w:name w:val="Font Style30"/>
    <w:uiPriority w:val="99"/>
    <w:rsid w:val="0099162B"/>
    <w:rPr>
      <w:rFonts w:ascii="Times New Roman" w:hAnsi="Times New Roman" w:cs="Times New Roman" w:hint="default"/>
      <w:b/>
      <w:bCs/>
      <w:sz w:val="22"/>
      <w:szCs w:val="22"/>
    </w:rPr>
  </w:style>
  <w:style w:type="character" w:customStyle="1" w:styleId="UnresolvedMention1">
    <w:name w:val="Unresolved Mention1"/>
    <w:uiPriority w:val="99"/>
    <w:semiHidden/>
    <w:unhideWhenUsed/>
    <w:rsid w:val="005E3757"/>
    <w:rPr>
      <w:color w:val="808080"/>
      <w:shd w:val="clear" w:color="auto" w:fill="E6E6E6"/>
    </w:rPr>
  </w:style>
  <w:style w:type="paragraph" w:styleId="EndnoteText">
    <w:name w:val="endnote text"/>
    <w:basedOn w:val="Normal"/>
    <w:link w:val="EndnoteTextChar"/>
    <w:uiPriority w:val="99"/>
    <w:unhideWhenUsed/>
    <w:rsid w:val="001D61F7"/>
    <w:pPr>
      <w:widowControl/>
      <w:spacing w:after="0"/>
      <w:jc w:val="left"/>
    </w:pPr>
    <w:rPr>
      <w:rFonts w:ascii="Calibri" w:eastAsia="Calibri" w:hAnsi="Calibri"/>
      <w:sz w:val="20"/>
      <w:szCs w:val="20"/>
      <w:lang w:val="en-US"/>
    </w:rPr>
  </w:style>
  <w:style w:type="character" w:customStyle="1" w:styleId="EndnoteTextChar">
    <w:name w:val="Endnote Text Char"/>
    <w:link w:val="EndnoteText"/>
    <w:uiPriority w:val="99"/>
    <w:rsid w:val="001D61F7"/>
    <w:rPr>
      <w:rFonts w:ascii="Calibri" w:eastAsia="Calibri" w:hAnsi="Calibri"/>
    </w:rPr>
  </w:style>
  <w:style w:type="character" w:styleId="EndnoteReference">
    <w:name w:val="endnote reference"/>
    <w:uiPriority w:val="99"/>
    <w:unhideWhenUsed/>
    <w:rsid w:val="001D61F7"/>
    <w:rPr>
      <w:vertAlign w:val="superscript"/>
    </w:rPr>
  </w:style>
  <w:style w:type="paragraph" w:styleId="TOCHeading">
    <w:name w:val="TOC Heading"/>
    <w:basedOn w:val="Heading1"/>
    <w:next w:val="Normal"/>
    <w:uiPriority w:val="39"/>
    <w:unhideWhenUsed/>
    <w:qFormat/>
    <w:rsid w:val="00117EA1"/>
    <w:pPr>
      <w:keepLines/>
      <w:widowControl/>
      <w:numPr>
        <w:numId w:val="0"/>
      </w:numPr>
      <w:tabs>
        <w:tab w:val="clear" w:pos="340"/>
      </w:tabs>
      <w:spacing w:before="240" w:after="0" w:line="259" w:lineRule="auto"/>
      <w:outlineLvl w:val="9"/>
    </w:pPr>
    <w:rPr>
      <w:rFonts w:ascii="Calibri Light" w:hAnsi="Calibri Light" w:cs="Times New Roman"/>
      <w:b w:val="0"/>
      <w:bCs w:val="0"/>
      <w:caps w:val="0"/>
      <w:color w:val="2F5496"/>
      <w:sz w:val="32"/>
      <w:szCs w:val="32"/>
      <w:lang w:val="en-US"/>
    </w:rPr>
  </w:style>
  <w:style w:type="paragraph" w:styleId="TOC1">
    <w:name w:val="toc 1"/>
    <w:basedOn w:val="Normal"/>
    <w:next w:val="Normal"/>
    <w:autoRedefine/>
    <w:uiPriority w:val="39"/>
    <w:rsid w:val="00117EA1"/>
    <w:pPr>
      <w:spacing w:after="100"/>
    </w:pPr>
  </w:style>
  <w:style w:type="paragraph" w:styleId="ListParagraph">
    <w:name w:val="List Paragraph"/>
    <w:basedOn w:val="Normal"/>
    <w:uiPriority w:val="34"/>
    <w:qFormat/>
    <w:rsid w:val="00DC6768"/>
    <w:pPr>
      <w:ind w:left="720"/>
      <w:contextualSpacing/>
    </w:pPr>
  </w:style>
  <w:style w:type="character" w:customStyle="1" w:styleId="HeaderChar">
    <w:name w:val="Header Char"/>
    <w:link w:val="Header"/>
    <w:uiPriority w:val="99"/>
    <w:rsid w:val="001960D2"/>
    <w:rPr>
      <w:rFonts w:ascii="Century Gothic" w:hAnsi="Century Gothic"/>
      <w:sz w:val="18"/>
      <w:szCs w:val="18"/>
      <w:lang w:val="sr-Latn-CS"/>
    </w:rPr>
  </w:style>
  <w:style w:type="paragraph" w:styleId="BalloonText">
    <w:name w:val="Balloon Text"/>
    <w:basedOn w:val="Normal"/>
    <w:link w:val="BalloonTextChar"/>
    <w:rsid w:val="002C7801"/>
    <w:pPr>
      <w:spacing w:after="0"/>
    </w:pPr>
    <w:rPr>
      <w:rFonts w:ascii="Segoe UI" w:hAnsi="Segoe UI" w:cs="Segoe UI"/>
      <w:sz w:val="18"/>
      <w:szCs w:val="18"/>
    </w:rPr>
  </w:style>
  <w:style w:type="character" w:customStyle="1" w:styleId="BalloonTextChar">
    <w:name w:val="Balloon Text Char"/>
    <w:link w:val="BalloonText"/>
    <w:rsid w:val="002C7801"/>
    <w:rPr>
      <w:rFonts w:ascii="Segoe UI" w:hAnsi="Segoe UI" w:cs="Segoe UI"/>
      <w:sz w:val="18"/>
      <w:szCs w:val="18"/>
      <w:lang w:val="sr-Latn-CS"/>
    </w:rPr>
  </w:style>
  <w:style w:type="character" w:styleId="CommentReference">
    <w:name w:val="annotation reference"/>
    <w:rsid w:val="0054225B"/>
    <w:rPr>
      <w:sz w:val="16"/>
      <w:szCs w:val="16"/>
    </w:rPr>
  </w:style>
  <w:style w:type="paragraph" w:styleId="CommentText">
    <w:name w:val="annotation text"/>
    <w:basedOn w:val="Normal"/>
    <w:link w:val="CommentTextChar"/>
    <w:rsid w:val="0054225B"/>
    <w:rPr>
      <w:sz w:val="20"/>
      <w:szCs w:val="20"/>
    </w:rPr>
  </w:style>
  <w:style w:type="character" w:customStyle="1" w:styleId="CommentTextChar">
    <w:name w:val="Comment Text Char"/>
    <w:link w:val="CommentText"/>
    <w:rsid w:val="0054225B"/>
    <w:rPr>
      <w:rFonts w:ascii="Arial" w:hAnsi="Arial"/>
      <w:lang w:val="sr-Latn-CS"/>
    </w:rPr>
  </w:style>
  <w:style w:type="paragraph" w:styleId="CommentSubject">
    <w:name w:val="annotation subject"/>
    <w:basedOn w:val="CommentText"/>
    <w:next w:val="CommentText"/>
    <w:link w:val="CommentSubjectChar"/>
    <w:rsid w:val="0054225B"/>
    <w:rPr>
      <w:b/>
      <w:bCs/>
    </w:rPr>
  </w:style>
  <w:style w:type="character" w:customStyle="1" w:styleId="CommentSubjectChar">
    <w:name w:val="Comment Subject Char"/>
    <w:link w:val="CommentSubject"/>
    <w:rsid w:val="0054225B"/>
    <w:rPr>
      <w:rFonts w:ascii="Arial" w:hAnsi="Arial"/>
      <w:b/>
      <w:bCs/>
      <w:lang w:val="sr-Latn-CS"/>
    </w:rPr>
  </w:style>
  <w:style w:type="paragraph" w:styleId="Revision">
    <w:name w:val="Revision"/>
    <w:hidden/>
    <w:uiPriority w:val="99"/>
    <w:semiHidden/>
    <w:rsid w:val="00EA633E"/>
    <w:rPr>
      <w:rFonts w:ascii="Arial" w:hAnsi="Arial"/>
      <w:sz w:val="22"/>
      <w:szCs w:val="22"/>
      <w:lang w:val="sr-Latn-CS" w:eastAsia="en-US"/>
    </w:rPr>
  </w:style>
  <w:style w:type="character" w:customStyle="1" w:styleId="FooterChar">
    <w:name w:val="Footer Char"/>
    <w:basedOn w:val="DefaultParagraphFont"/>
    <w:link w:val="Footer"/>
    <w:uiPriority w:val="99"/>
    <w:rsid w:val="0092099F"/>
    <w:rPr>
      <w:rFonts w:ascii="Century Gothic" w:hAnsi="Century Gothic"/>
      <w:sz w:val="18"/>
      <w:szCs w:val="18"/>
      <w:lang w:val="sr-Latn-C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133858">
      <w:bodyDiv w:val="1"/>
      <w:marLeft w:val="0"/>
      <w:marRight w:val="0"/>
      <w:marTop w:val="0"/>
      <w:marBottom w:val="0"/>
      <w:divBdr>
        <w:top w:val="none" w:sz="0" w:space="0" w:color="auto"/>
        <w:left w:val="none" w:sz="0" w:space="0" w:color="auto"/>
        <w:bottom w:val="none" w:sz="0" w:space="0" w:color="auto"/>
        <w:right w:val="none" w:sz="0" w:space="0" w:color="auto"/>
      </w:divBdr>
      <w:divsChild>
        <w:div w:id="282736404">
          <w:marLeft w:val="0"/>
          <w:marRight w:val="0"/>
          <w:marTop w:val="0"/>
          <w:marBottom w:val="0"/>
          <w:divBdr>
            <w:top w:val="none" w:sz="0" w:space="0" w:color="auto"/>
            <w:left w:val="none" w:sz="0" w:space="0" w:color="auto"/>
            <w:bottom w:val="none" w:sz="0" w:space="0" w:color="auto"/>
            <w:right w:val="none" w:sz="0" w:space="0" w:color="auto"/>
          </w:divBdr>
        </w:div>
        <w:div w:id="574778813">
          <w:marLeft w:val="0"/>
          <w:marRight w:val="0"/>
          <w:marTop w:val="0"/>
          <w:marBottom w:val="0"/>
          <w:divBdr>
            <w:top w:val="none" w:sz="0" w:space="0" w:color="auto"/>
            <w:left w:val="none" w:sz="0" w:space="0" w:color="auto"/>
            <w:bottom w:val="none" w:sz="0" w:space="0" w:color="auto"/>
            <w:right w:val="none" w:sz="0" w:space="0" w:color="auto"/>
          </w:divBdr>
        </w:div>
      </w:divsChild>
    </w:div>
    <w:div w:id="723256594">
      <w:bodyDiv w:val="1"/>
      <w:marLeft w:val="0"/>
      <w:marRight w:val="0"/>
      <w:marTop w:val="0"/>
      <w:marBottom w:val="0"/>
      <w:divBdr>
        <w:top w:val="none" w:sz="0" w:space="0" w:color="auto"/>
        <w:left w:val="none" w:sz="0" w:space="0" w:color="auto"/>
        <w:bottom w:val="none" w:sz="0" w:space="0" w:color="auto"/>
        <w:right w:val="none" w:sz="0" w:space="0" w:color="auto"/>
      </w:divBdr>
      <w:divsChild>
        <w:div w:id="1632973652">
          <w:marLeft w:val="0"/>
          <w:marRight w:val="0"/>
          <w:marTop w:val="0"/>
          <w:marBottom w:val="0"/>
          <w:divBdr>
            <w:top w:val="none" w:sz="0" w:space="0" w:color="auto"/>
            <w:left w:val="none" w:sz="0" w:space="0" w:color="auto"/>
            <w:bottom w:val="none" w:sz="0" w:space="0" w:color="auto"/>
            <w:right w:val="none" w:sz="0" w:space="0" w:color="auto"/>
          </w:divBdr>
          <w:divsChild>
            <w:div w:id="1867985062">
              <w:marLeft w:val="0"/>
              <w:marRight w:val="0"/>
              <w:marTop w:val="0"/>
              <w:marBottom w:val="0"/>
              <w:divBdr>
                <w:top w:val="none" w:sz="0" w:space="0" w:color="auto"/>
                <w:left w:val="none" w:sz="0" w:space="0" w:color="auto"/>
                <w:bottom w:val="none" w:sz="0" w:space="0" w:color="auto"/>
                <w:right w:val="none" w:sz="0" w:space="0" w:color="auto"/>
              </w:divBdr>
              <w:divsChild>
                <w:div w:id="1371422023">
                  <w:marLeft w:val="0"/>
                  <w:marRight w:val="0"/>
                  <w:marTop w:val="0"/>
                  <w:marBottom w:val="0"/>
                  <w:divBdr>
                    <w:top w:val="none" w:sz="0" w:space="0" w:color="auto"/>
                    <w:left w:val="none" w:sz="0" w:space="0" w:color="auto"/>
                    <w:bottom w:val="none" w:sz="0" w:space="0" w:color="auto"/>
                    <w:right w:val="none" w:sz="0" w:space="0" w:color="auto"/>
                  </w:divBdr>
                  <w:divsChild>
                    <w:div w:id="1676683636">
                      <w:marLeft w:val="0"/>
                      <w:marRight w:val="0"/>
                      <w:marTop w:val="0"/>
                      <w:marBottom w:val="0"/>
                      <w:divBdr>
                        <w:top w:val="none" w:sz="0" w:space="0" w:color="auto"/>
                        <w:left w:val="none" w:sz="0" w:space="0" w:color="auto"/>
                        <w:bottom w:val="none" w:sz="0" w:space="0" w:color="auto"/>
                        <w:right w:val="none" w:sz="0" w:space="0" w:color="auto"/>
                      </w:divBdr>
                      <w:divsChild>
                        <w:div w:id="454057313">
                          <w:marLeft w:val="0"/>
                          <w:marRight w:val="0"/>
                          <w:marTop w:val="0"/>
                          <w:marBottom w:val="0"/>
                          <w:divBdr>
                            <w:top w:val="none" w:sz="0" w:space="0" w:color="auto"/>
                            <w:left w:val="none" w:sz="0" w:space="0" w:color="auto"/>
                            <w:bottom w:val="none" w:sz="0" w:space="0" w:color="auto"/>
                            <w:right w:val="none" w:sz="0" w:space="0" w:color="auto"/>
                          </w:divBdr>
                          <w:divsChild>
                            <w:div w:id="796795580">
                              <w:marLeft w:val="0"/>
                              <w:marRight w:val="0"/>
                              <w:marTop w:val="240"/>
                              <w:marBottom w:val="0"/>
                              <w:divBdr>
                                <w:top w:val="none" w:sz="0" w:space="0" w:color="auto"/>
                                <w:left w:val="none" w:sz="0" w:space="0" w:color="auto"/>
                                <w:bottom w:val="none" w:sz="0" w:space="0" w:color="auto"/>
                                <w:right w:val="none" w:sz="0" w:space="0" w:color="auto"/>
                              </w:divBdr>
                              <w:divsChild>
                                <w:div w:id="454179892">
                                  <w:marLeft w:val="0"/>
                                  <w:marRight w:val="240"/>
                                  <w:marTop w:val="0"/>
                                  <w:marBottom w:val="0"/>
                                  <w:divBdr>
                                    <w:top w:val="none" w:sz="0" w:space="0" w:color="auto"/>
                                    <w:left w:val="none" w:sz="0" w:space="0" w:color="auto"/>
                                    <w:bottom w:val="none" w:sz="0" w:space="0" w:color="auto"/>
                                    <w:right w:val="none" w:sz="0" w:space="0" w:color="auto"/>
                                  </w:divBdr>
                                </w:div>
                                <w:div w:id="1418593164">
                                  <w:marLeft w:val="0"/>
                                  <w:marRight w:val="240"/>
                                  <w:marTop w:val="0"/>
                                  <w:marBottom w:val="0"/>
                                  <w:divBdr>
                                    <w:top w:val="none" w:sz="0" w:space="0" w:color="auto"/>
                                    <w:left w:val="none" w:sz="0" w:space="0" w:color="auto"/>
                                    <w:bottom w:val="none" w:sz="0" w:space="0" w:color="auto"/>
                                    <w:right w:val="none" w:sz="0" w:space="0" w:color="auto"/>
                                  </w:divBdr>
                                </w:div>
                              </w:divsChild>
                            </w:div>
                            <w:div w:id="1367363919">
                              <w:marLeft w:val="0"/>
                              <w:marRight w:val="0"/>
                              <w:marTop w:val="0"/>
                              <w:marBottom w:val="0"/>
                              <w:divBdr>
                                <w:top w:val="none" w:sz="0" w:space="0" w:color="auto"/>
                                <w:left w:val="none" w:sz="0" w:space="0" w:color="auto"/>
                                <w:bottom w:val="none" w:sz="0" w:space="0" w:color="auto"/>
                                <w:right w:val="none" w:sz="0" w:space="0" w:color="auto"/>
                              </w:divBdr>
                              <w:divsChild>
                                <w:div w:id="1626348007">
                                  <w:marLeft w:val="0"/>
                                  <w:marRight w:val="0"/>
                                  <w:marTop w:val="0"/>
                                  <w:marBottom w:val="0"/>
                                  <w:divBdr>
                                    <w:top w:val="none" w:sz="0" w:space="0" w:color="auto"/>
                                    <w:left w:val="none" w:sz="0" w:space="0" w:color="auto"/>
                                    <w:bottom w:val="none" w:sz="0" w:space="0" w:color="auto"/>
                                    <w:right w:val="none" w:sz="0" w:space="0" w:color="auto"/>
                                  </w:divBdr>
                                  <w:divsChild>
                                    <w:div w:id="16833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928898">
      <w:bodyDiv w:val="1"/>
      <w:marLeft w:val="0"/>
      <w:marRight w:val="0"/>
      <w:marTop w:val="0"/>
      <w:marBottom w:val="0"/>
      <w:divBdr>
        <w:top w:val="none" w:sz="0" w:space="0" w:color="auto"/>
        <w:left w:val="none" w:sz="0" w:space="0" w:color="auto"/>
        <w:bottom w:val="none" w:sz="0" w:space="0" w:color="auto"/>
        <w:right w:val="none" w:sz="0" w:space="0" w:color="auto"/>
      </w:divBdr>
    </w:div>
    <w:div w:id="1517184929">
      <w:bodyDiv w:val="1"/>
      <w:marLeft w:val="0"/>
      <w:marRight w:val="0"/>
      <w:marTop w:val="0"/>
      <w:marBottom w:val="0"/>
      <w:divBdr>
        <w:top w:val="none" w:sz="0" w:space="0" w:color="auto"/>
        <w:left w:val="none" w:sz="0" w:space="0" w:color="auto"/>
        <w:bottom w:val="none" w:sz="0" w:space="0" w:color="auto"/>
        <w:right w:val="none" w:sz="0" w:space="0" w:color="auto"/>
      </w:divBdr>
    </w:div>
    <w:div w:id="214592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mailto:advokat@drstanisi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7\Desktop\XVII%20Simpozij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81BD3-7749-46D6-8F5E-F61DDC89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XVII Simpozijum template</Template>
  <TotalTime>0</TotalTime>
  <Pages>11</Pages>
  <Words>5387</Words>
  <Characters>31427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XVII Simpozijum ''Vještačenje saobraćajnih nezgoda i prevare u osiguranju''</vt:lpstr>
    </vt:vector>
  </TitlesOfParts>
  <Company>saobracajni fakultet</Company>
  <LinksUpToDate>false</LinksUpToDate>
  <CharactersWithSpaces>36741</CharactersWithSpaces>
  <SharedDoc>false</SharedDoc>
  <HLinks>
    <vt:vector size="12" baseType="variant">
      <vt:variant>
        <vt:i4>4128790</vt:i4>
      </vt:variant>
      <vt:variant>
        <vt:i4>3</vt:i4>
      </vt:variant>
      <vt:variant>
        <vt:i4>0</vt:i4>
      </vt:variant>
      <vt:variant>
        <vt:i4>5</vt:i4>
      </vt:variant>
      <vt:variant>
        <vt:lpwstr>mailto:dragisasukurma88@gmail.com</vt:lpwstr>
      </vt:variant>
      <vt:variant>
        <vt:lpwstr/>
      </vt:variant>
      <vt:variant>
        <vt:i4>6094971</vt:i4>
      </vt:variant>
      <vt:variant>
        <vt:i4>0</vt:i4>
      </vt:variant>
      <vt:variant>
        <vt:i4>0</vt:i4>
      </vt:variant>
      <vt:variant>
        <vt:i4>5</vt:i4>
      </vt:variant>
      <vt:variant>
        <vt:lpwstr>mailto:advokat@drstanisic.com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XVII Simpozijum ''Vještačenje saobraćajnih nezgoda i prevare u osiguranju''</dc:title>
  <dc:subject/>
  <dc:creator>WIN7</dc:creator>
  <cp:keywords/>
  <dc:description/>
  <cp:lastModifiedBy>WIN10</cp:lastModifiedBy>
  <cp:revision>2</cp:revision>
  <cp:lastPrinted>2018-05-13T18:18:00Z</cp:lastPrinted>
  <dcterms:created xsi:type="dcterms:W3CDTF">2024-05-20T14:17:00Z</dcterms:created>
  <dcterms:modified xsi:type="dcterms:W3CDTF">2024-05-20T14:17:00Z</dcterms:modified>
</cp:coreProperties>
</file>