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C8AC" w14:textId="5A22C923" w:rsidR="004D01A3" w:rsidRPr="00530C4A" w:rsidRDefault="002749FA" w:rsidP="00C60E30">
      <w:pPr>
        <w:pStyle w:val="Autor"/>
        <w:rPr>
          <w:rFonts w:ascii="Georgia" w:hAnsi="Georgia" w:cs="Tahoma"/>
        </w:rPr>
      </w:pPr>
      <w:r w:rsidRPr="00530C4A">
        <w:rPr>
          <w:rFonts w:ascii="Georgia" w:hAnsi="Georgia" w:cs="Tahoma"/>
          <w:b w:val="0"/>
          <w:bCs/>
          <w:i/>
          <w:noProof/>
          <w:lang w:val="bs-Latn-BA" w:eastAsia="bs-Latn-BA"/>
        </w:rPr>
        <mc:AlternateContent>
          <mc:Choice Requires="wps">
            <w:drawing>
              <wp:anchor distT="36576" distB="36576" distL="36576" distR="36576" simplePos="0" relativeHeight="251659264" behindDoc="0" locked="0" layoutInCell="1" allowOverlap="1" wp14:anchorId="661AF1BC" wp14:editId="75C2EDC4">
                <wp:simplePos x="0" y="0"/>
                <wp:positionH relativeFrom="page">
                  <wp:posOffset>1980565</wp:posOffset>
                </wp:positionH>
                <wp:positionV relativeFrom="page">
                  <wp:posOffset>1076325</wp:posOffset>
                </wp:positionV>
                <wp:extent cx="4867275" cy="1647825"/>
                <wp:effectExtent l="0" t="0" r="9525" b="952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67275" cy="1647825"/>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89D6EF0" w14:textId="77777777" w:rsidR="007116F8" w:rsidRDefault="007116F8" w:rsidP="00367EF0">
                            <w:pPr>
                              <w:pStyle w:val="Naslov10"/>
                              <w:rPr>
                                <w:rFonts w:ascii="Tahoma" w:hAnsi="Tahoma" w:cs="Tahoma"/>
                              </w:rPr>
                            </w:pPr>
                            <w:r w:rsidRPr="007116F8">
                              <w:rPr>
                                <w:rFonts w:ascii="Tahoma" w:hAnsi="Tahoma" w:cs="Tahoma"/>
                              </w:rPr>
                              <w:t>VJEŠTAČENJA  SAOBRAĆAJNE NEZGODE U PARNIČNOM POSTUPKU</w:t>
                            </w:r>
                          </w:p>
                          <w:p w14:paraId="15B9E677" w14:textId="2AB5E539" w:rsidR="00536E12" w:rsidRPr="00B16624" w:rsidRDefault="00536E12" w:rsidP="00367EF0">
                            <w:pPr>
                              <w:pStyle w:val="Naslov10"/>
                              <w:rPr>
                                <w:rFonts w:ascii="Tahoma" w:hAnsi="Tahoma" w:cs="Tahoma"/>
                              </w:rPr>
                            </w:pPr>
                            <w:r w:rsidRPr="00B16624">
                              <w:rPr>
                                <w:rFonts w:ascii="Tahoma" w:hAnsi="Tahoma" w:cs="Tahoma"/>
                                <w:lang w:val="en-GB"/>
                              </w:rPr>
                              <w:t>TITLE OF THE PAPER IN ENGLISH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AF1BC" id="AutoShape 4" o:spid="_x0000_s1026" style="position:absolute;left:0;text-align:left;margin-left:155.95pt;margin-top:84.75pt;width:383.25pt;height:129.75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" stroked="f" strokeweight="0" insetpen="t">
                <v:shadow color="#ccc"/>
                <o:lock v:ext="edit" shapetype="t"/>
                <v:textbox inset="2.88pt,2.88pt,2.88pt,2.88pt">
                  <w:txbxContent>
                    <w:p w14:paraId="589D6EF0" w14:textId="77777777" w:rsidR="007116F8" w:rsidRDefault="007116F8" w:rsidP="00367EF0">
                      <w:pPr>
                        <w:pStyle w:val="Naslov10"/>
                        <w:rPr>
                          <w:rFonts w:ascii="Tahoma" w:hAnsi="Tahoma" w:cs="Tahoma"/>
                        </w:rPr>
                      </w:pPr>
                      <w:r w:rsidRPr="007116F8">
                        <w:rPr>
                          <w:rFonts w:ascii="Tahoma" w:hAnsi="Tahoma" w:cs="Tahoma"/>
                        </w:rPr>
                        <w:t>VJEŠTAČENJA  SAOBRAĆAJNE NEZGODE U PARNIČNOM POSTUPKU</w:t>
                      </w:r>
                    </w:p>
                    <w:p w14:paraId="15B9E677" w14:textId="2AB5E539" w:rsidR="00536E12" w:rsidRPr="00B16624" w:rsidRDefault="00536E12" w:rsidP="00367EF0">
                      <w:pPr>
                        <w:pStyle w:val="Naslov10"/>
                        <w:rPr>
                          <w:rFonts w:ascii="Tahoma" w:hAnsi="Tahoma" w:cs="Tahoma"/>
                        </w:rPr>
                      </w:pPr>
                      <w:r w:rsidRPr="00B16624">
                        <w:rPr>
                          <w:rFonts w:ascii="Tahoma" w:hAnsi="Tahoma" w:cs="Tahoma"/>
                          <w:lang w:val="en-GB"/>
                        </w:rPr>
                        <w:t>TITLE OF THE PAPER IN ENGLISH</w:t>
                      </w:r>
                    </w:p>
                  </w:txbxContent>
                </v:textbox>
                <w10:wrap anchorx="page" anchory="page"/>
              </v:roundrect>
            </w:pict>
          </mc:Fallback>
        </mc:AlternateContent>
      </w:r>
      <w:r w:rsidR="007116F8" w:rsidRPr="00530C4A">
        <w:rPr>
          <w:rFonts w:ascii="Georgia" w:hAnsi="Georgia"/>
        </w:rPr>
        <w:t xml:space="preserve"> </w:t>
      </w:r>
      <w:r w:rsidR="007116F8" w:rsidRPr="00530C4A">
        <w:rPr>
          <w:rFonts w:ascii="Georgia" w:hAnsi="Georgia" w:cs="Tahoma"/>
        </w:rPr>
        <w:t>Drašković D.</w:t>
      </w:r>
      <w:r w:rsidR="007116F8" w:rsidRPr="00530C4A">
        <w:rPr>
          <w:rStyle w:val="Referencafusnote"/>
          <w:rFonts w:ascii="Georgia" w:hAnsi="Georgia" w:cs="Tahoma"/>
          <w:sz w:val="20"/>
          <w:szCs w:val="20"/>
        </w:rPr>
        <w:footnoteReference w:id="1"/>
      </w:r>
      <w:r w:rsidR="007116F8" w:rsidRPr="00530C4A">
        <w:rPr>
          <w:rFonts w:ascii="Georgia" w:hAnsi="Georgia" w:cs="Tahoma"/>
        </w:rPr>
        <w:t xml:space="preserve">  Vujanić M.</w:t>
      </w:r>
      <w:r w:rsidR="007116F8" w:rsidRPr="00530C4A">
        <w:rPr>
          <w:rStyle w:val="Referencafusnote"/>
          <w:rFonts w:ascii="Georgia" w:hAnsi="Georgia" w:cs="Tahoma"/>
          <w:sz w:val="20"/>
          <w:szCs w:val="20"/>
        </w:rPr>
        <w:footnoteReference w:id="2"/>
      </w:r>
      <w:r w:rsidR="007116F8" w:rsidRPr="00530C4A">
        <w:rPr>
          <w:rFonts w:ascii="Georgia" w:hAnsi="Georgia" w:cs="Tahoma"/>
        </w:rPr>
        <w:t xml:space="preserve">  Stanišić D.</w:t>
      </w:r>
      <w:r w:rsidR="007116F8" w:rsidRPr="00530C4A">
        <w:rPr>
          <w:rStyle w:val="Referencafusnote"/>
          <w:rFonts w:ascii="Georgia" w:hAnsi="Georgia" w:cs="Tahoma"/>
          <w:sz w:val="20"/>
          <w:szCs w:val="20"/>
        </w:rPr>
        <w:footnoteReference w:id="3"/>
      </w:r>
      <w:r w:rsidR="007116F8" w:rsidRPr="00530C4A">
        <w:rPr>
          <w:rFonts w:ascii="Georgia" w:hAnsi="Georgia" w:cs="Tahoma"/>
        </w:rPr>
        <w:t xml:space="preserve"> </w:t>
      </w:r>
    </w:p>
    <w:p w14:paraId="14994A20" w14:textId="1A8A1ED6" w:rsidR="00014B20" w:rsidRPr="00530C4A" w:rsidRDefault="00A70AC2" w:rsidP="00193DFD">
      <w:pPr>
        <w:pStyle w:val="Rezime"/>
        <w:rPr>
          <w:rFonts w:ascii="Georgia" w:hAnsi="Georgia" w:cs="Tahoma"/>
        </w:rPr>
      </w:pPr>
      <w:r w:rsidRPr="00530C4A">
        <w:rPr>
          <w:rFonts w:ascii="Georgia" w:hAnsi="Georgia" w:cs="Tahoma"/>
          <w:b/>
          <w:bCs/>
          <w:i w:val="0"/>
        </w:rPr>
        <w:t>Rezime</w:t>
      </w:r>
      <w:r w:rsidR="00014B20" w:rsidRPr="00530C4A">
        <w:rPr>
          <w:rFonts w:ascii="Georgia" w:hAnsi="Georgia" w:cs="Tahoma"/>
          <w:b/>
          <w:bCs/>
          <w:i w:val="0"/>
        </w:rPr>
        <w:t xml:space="preserve">: </w:t>
      </w:r>
      <w:r w:rsidR="007116F8" w:rsidRPr="00530C4A">
        <w:rPr>
          <w:rFonts w:ascii="Georgia" w:hAnsi="Georgia" w:cs="Tahoma"/>
        </w:rPr>
        <w:t>U procesu naknade štete koju je oštećeni pretrpio kao posljedicu saobraćajne nezgode, nerijetko je potrebno vještačiti radi utvrđivanja uzroka nezgode, doprinosa oštećenog nastanku nezgode, odnosno povećanja visine štete. Formalnopravno, potrebno je posmatrati institut podijeljene odgovornosti. Podijeljena odgovornost je institut kojim se označava doprinos oštećenog da šteta nastane ili da bude veća nego što bi inače bila. U okviru ovog rada istražuje se model vještačenja saobraćajnih nezgoda u parničnom postupku, prvenstveno sa aspekta doprinosa nedopuštene radnje oštećenog u nastanku nezgode ili povećanju štete.</w:t>
      </w:r>
    </w:p>
    <w:p w14:paraId="57BD66B8" w14:textId="19584702" w:rsidR="005F6724" w:rsidRPr="00530C4A" w:rsidRDefault="00A70AC2" w:rsidP="005F6724">
      <w:pPr>
        <w:pStyle w:val="KljucneReci"/>
        <w:rPr>
          <w:rFonts w:ascii="Georgia" w:hAnsi="Georgia" w:cs="Tahoma"/>
        </w:rPr>
      </w:pPr>
      <w:r w:rsidRPr="00530C4A">
        <w:rPr>
          <w:rFonts w:ascii="Georgia" w:hAnsi="Georgia" w:cs="Tahoma"/>
          <w:b/>
          <w:bCs/>
        </w:rPr>
        <w:t>KLjUČNE</w:t>
      </w:r>
      <w:r w:rsidR="00014B20" w:rsidRPr="00530C4A">
        <w:rPr>
          <w:rFonts w:ascii="Georgia" w:hAnsi="Georgia" w:cs="Tahoma"/>
          <w:b/>
          <w:bCs/>
        </w:rPr>
        <w:t xml:space="preserve"> </w:t>
      </w:r>
      <w:r w:rsidRPr="00530C4A">
        <w:rPr>
          <w:rFonts w:ascii="Georgia" w:hAnsi="Georgia" w:cs="Tahoma"/>
          <w:b/>
          <w:bCs/>
        </w:rPr>
        <w:t>REČI</w:t>
      </w:r>
      <w:r w:rsidR="00014B20" w:rsidRPr="00530C4A">
        <w:rPr>
          <w:rFonts w:ascii="Georgia" w:hAnsi="Georgia" w:cs="Tahoma"/>
          <w:b/>
          <w:bCs/>
        </w:rPr>
        <w:t>:</w:t>
      </w:r>
      <w:r w:rsidR="00014B20" w:rsidRPr="00530C4A">
        <w:rPr>
          <w:rFonts w:ascii="Georgia" w:hAnsi="Georgia" w:cs="Tahoma"/>
          <w:b/>
          <w:bCs/>
        </w:rPr>
        <w:tab/>
      </w:r>
      <w:r w:rsidR="007116F8" w:rsidRPr="00530C4A">
        <w:rPr>
          <w:rFonts w:ascii="Georgia" w:hAnsi="Georgia" w:cs="Tahoma"/>
        </w:rPr>
        <w:t>Saobraćajna nezgoda; Opasna situacija; Uzrok saobraćajne nezgode; Podijeljena odgovornost; Doprinos za nastanak nezgode; Povećanje štete;</w:t>
      </w:r>
    </w:p>
    <w:p w14:paraId="181A8A6C" w14:textId="77777777" w:rsidR="00014B20" w:rsidRPr="00530C4A" w:rsidRDefault="00014B20" w:rsidP="00C01EBF">
      <w:pPr>
        <w:pStyle w:val="KljucneReci"/>
        <w:rPr>
          <w:rFonts w:ascii="Georgia" w:hAnsi="Georgia" w:cs="Tahoma"/>
        </w:rPr>
      </w:pPr>
    </w:p>
    <w:p w14:paraId="4D3D0216" w14:textId="307C4D3F" w:rsidR="005567A1" w:rsidRPr="00530C4A" w:rsidRDefault="00014B20" w:rsidP="005567A1">
      <w:pPr>
        <w:pStyle w:val="Rezime"/>
        <w:rPr>
          <w:rFonts w:ascii="Georgia" w:hAnsi="Georgia" w:cs="Tahoma"/>
          <w:color w:val="888888"/>
          <w:lang w:val="en-GB"/>
        </w:rPr>
      </w:pPr>
      <w:r w:rsidRPr="00530C4A">
        <w:rPr>
          <w:rFonts w:ascii="Georgia" w:hAnsi="Georgia" w:cs="Tahoma"/>
          <w:b/>
          <w:i w:val="0"/>
          <w:lang w:val="en-GB"/>
        </w:rPr>
        <w:t>Abstract:</w:t>
      </w:r>
      <w:r w:rsidRPr="00530C4A">
        <w:rPr>
          <w:rFonts w:ascii="Georgia" w:hAnsi="Georgia" w:cs="Tahoma"/>
          <w:lang w:val="en-GB"/>
        </w:rPr>
        <w:t xml:space="preserve"> </w:t>
      </w:r>
      <w:r w:rsidR="00712A06" w:rsidRPr="00530C4A">
        <w:rPr>
          <w:rFonts w:ascii="Georgia" w:hAnsi="Georgia" w:cs="Tahoma"/>
          <w:lang w:val="en-GB"/>
        </w:rPr>
        <w:t xml:space="preserve">This document is a template for the preparation of technical papers will be published in the </w:t>
      </w:r>
      <w:r w:rsidR="003D1617" w:rsidRPr="00530C4A">
        <w:rPr>
          <w:rFonts w:ascii="Georgia" w:hAnsi="Georgia" w:cs="Tahoma"/>
          <w:lang w:val="en-GB"/>
        </w:rPr>
        <w:t>Proceedings of X</w:t>
      </w:r>
      <w:r w:rsidR="004B154F" w:rsidRPr="00530C4A">
        <w:rPr>
          <w:rFonts w:ascii="Georgia" w:hAnsi="Georgia" w:cs="Tahoma"/>
          <w:lang w:val="en-GB"/>
        </w:rPr>
        <w:t>I</w:t>
      </w:r>
      <w:r w:rsidR="002749FA" w:rsidRPr="00530C4A">
        <w:rPr>
          <w:rFonts w:ascii="Georgia" w:hAnsi="Georgia" w:cs="Tahoma"/>
          <w:lang w:val="en-GB"/>
        </w:rPr>
        <w:t>X</w:t>
      </w:r>
      <w:r w:rsidR="003D1617" w:rsidRPr="00530C4A">
        <w:rPr>
          <w:rFonts w:ascii="Georgia" w:hAnsi="Georgia" w:cs="Tahoma"/>
          <w:lang w:val="en-GB"/>
        </w:rPr>
        <w:t xml:space="preserve"> Symposium</w:t>
      </w:r>
      <w:r w:rsidR="00712A06" w:rsidRPr="00530C4A">
        <w:rPr>
          <w:rFonts w:ascii="Georgia" w:hAnsi="Georgia" w:cs="Tahoma"/>
          <w:color w:val="FF0000"/>
          <w:lang w:val="en-GB"/>
        </w:rPr>
        <w:t>.</w:t>
      </w:r>
      <w:r w:rsidR="00712A06" w:rsidRPr="00530C4A">
        <w:rPr>
          <w:rFonts w:ascii="Georgia" w:hAnsi="Georgia" w:cs="Tahoma"/>
          <w:lang w:val="en-GB"/>
        </w:rPr>
        <w:t xml:space="preserve"> To format text using the styles provided in this template.</w:t>
      </w:r>
      <w:r w:rsidR="005567A1" w:rsidRPr="00530C4A">
        <w:rPr>
          <w:rFonts w:ascii="Georgia" w:hAnsi="Georgia" w:cs="Tahoma"/>
          <w:lang w:val="en-GB"/>
        </w:rPr>
        <w:t xml:space="preserve"> </w:t>
      </w:r>
      <w:r w:rsidR="005567A1" w:rsidRPr="00530C4A">
        <w:rPr>
          <w:rFonts w:ascii="Georgia" w:hAnsi="Georgia" w:cs="Tahoma"/>
          <w:color w:val="000000"/>
          <w:lang w:val="en-GB"/>
        </w:rPr>
        <w:t>Summary presents an overview of work in maximum 100 words. The constituent parts of the abstract goal of the research, methods, results and conclusion.</w:t>
      </w:r>
    </w:p>
    <w:p w14:paraId="3885F051" w14:textId="77777777" w:rsidR="005F6724" w:rsidRPr="00530C4A" w:rsidRDefault="005F6724" w:rsidP="005F6724">
      <w:pPr>
        <w:pStyle w:val="KljucneReci"/>
        <w:rPr>
          <w:rFonts w:ascii="Georgia" w:hAnsi="Georgia" w:cs="Tahoma"/>
          <w:b/>
          <w:bCs/>
          <w:lang w:val="en-GB"/>
        </w:rPr>
      </w:pPr>
      <w:r w:rsidRPr="00530C4A">
        <w:rPr>
          <w:rFonts w:ascii="Georgia" w:hAnsi="Georgia" w:cs="Tahoma"/>
          <w:b/>
          <w:bCs/>
          <w:lang w:val="en-GB"/>
        </w:rPr>
        <w:t>KEY WORDS:</w:t>
      </w:r>
      <w:r w:rsidRPr="00530C4A">
        <w:rPr>
          <w:rFonts w:ascii="Georgia" w:hAnsi="Georgia" w:cs="Tahoma"/>
          <w:b/>
          <w:bCs/>
          <w:lang w:val="en-GB"/>
        </w:rPr>
        <w:tab/>
      </w:r>
      <w:r w:rsidRPr="00530C4A">
        <w:rPr>
          <w:rFonts w:ascii="Georgia" w:hAnsi="Georgia" w:cs="Tahoma"/>
          <w:lang w:val="en-GB"/>
        </w:rPr>
        <w:t>TRAFFIC ACCIDENT EXPERTISE, GRADATION OF THE EXPERTS OPINION, THE PROCESS IN THE COURT, FIVE–LEVEL SCALE, mistakes of the traffic accident participants</w:t>
      </w:r>
    </w:p>
    <w:p w14:paraId="0561239A" w14:textId="77777777" w:rsidR="0099162B" w:rsidRPr="00530C4A" w:rsidRDefault="0099162B" w:rsidP="0099162B">
      <w:pPr>
        <w:pStyle w:val="Naslov1"/>
        <w:pageBreakBefore/>
        <w:numPr>
          <w:ilvl w:val="0"/>
          <w:numId w:val="16"/>
        </w:numPr>
        <w:spacing w:before="240"/>
        <w:rPr>
          <w:rFonts w:ascii="Georgia" w:hAnsi="Georgia" w:cs="Tahoma"/>
          <w:sz w:val="20"/>
          <w:szCs w:val="20"/>
        </w:rPr>
      </w:pPr>
      <w:r w:rsidRPr="00530C4A">
        <w:rPr>
          <w:rFonts w:ascii="Georgia" w:hAnsi="Georgia" w:cs="Tahoma"/>
          <w:sz w:val="20"/>
          <w:szCs w:val="20"/>
        </w:rPr>
        <w:lastRenderedPageBreak/>
        <w:t>UVOD</w:t>
      </w:r>
    </w:p>
    <w:p w14:paraId="5F4BF78D" w14:textId="77777777" w:rsidR="007116F8" w:rsidRPr="00530C4A" w:rsidRDefault="007116F8" w:rsidP="007116F8">
      <w:pPr>
        <w:rPr>
          <w:rFonts w:ascii="Georgia" w:hAnsi="Georgia" w:cs="Tahoma"/>
          <w:sz w:val="20"/>
          <w:szCs w:val="20"/>
          <w:lang w:val="sr-Latn-BA" w:eastAsia="sr-Cyrl-CS"/>
        </w:rPr>
      </w:pPr>
    </w:p>
    <w:p w14:paraId="0064BAC9"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Odgovornost za štetu</w:t>
      </w:r>
      <w:r w:rsidRPr="00530C4A">
        <w:rPr>
          <w:rStyle w:val="Referencafusnote"/>
          <w:rFonts w:ascii="Georgia" w:hAnsi="Georgia" w:cs="Tahoma"/>
          <w:sz w:val="20"/>
          <w:szCs w:val="20"/>
          <w:lang w:val="sr-Latn-BA" w:eastAsia="sr-Cyrl-CS"/>
        </w:rPr>
        <w:footnoteReference w:id="4"/>
      </w:r>
      <w:r w:rsidRPr="00530C4A">
        <w:rPr>
          <w:rFonts w:ascii="Georgia" w:hAnsi="Georgia" w:cs="Tahoma"/>
          <w:sz w:val="20"/>
          <w:szCs w:val="20"/>
          <w:lang w:val="sr-Latn-BA" w:eastAsia="sr-Cyrl-CS"/>
        </w:rPr>
        <w:t xml:space="preserve"> u saobraćaju je tema koja je uvijek aktuelna, s obzirom na broj saobraćajnih nezgoda, stepen motorizacije i broj predmeta, kako sudskih tako i onih vansudskih, u redovnim postupcima naknade štete kod osiguravajućih društava. Izražen je značaj  odgovornosti štetnika za nastalu štetu u pogledu doprinosa oštećenog  šteti, posmatrano kroz institut doprinosa oštećenog nastanku i/ili veličini štete. U pitanju su najčešće dileme u sudskom postupku koju iskazuju sudski organi kod odlučivanja, nakon provedene procedure dokazivanja uzroka saobraćajne nezgode i doprinosa nastanku i veličini štete. Evidentno je da postoji nesrazmjer koji se može desiti u odnosu na osnovni uzrok nastanka saobraćajne nezgode i doprinos nastanku i veličini posljedice saobraćajne nezgode odnosno štete koju je pretrpio oštećeni. </w:t>
      </w:r>
    </w:p>
    <w:p w14:paraId="48955E8D"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Eventualno ustanovljena krivica u prethodnom, krivičnom postupku, ne predstavlja jedinu pretpostavku  odgovornosti za nastalu štetu, kad je u pitanju parnični postupak. Sud je odredbama člana 12. ZPP vezan za odluku krivičnog suda u pogledu krivične odgovornosti, ali to ne spriječava štetnika (njegovog osiguravača) da u parničnom postupku dokazuje doprinos na strani oštećenog. Utvrđena odgovornost u prekršajnom postupku ne vezuje parnični sud, ali teret dokazivanja prebacuje sa oštećenog na štetnika.</w:t>
      </w:r>
    </w:p>
    <w:p w14:paraId="658A492D"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U slučajevima kada je potrebno analizirati postojanje više uzroka koji dovode do nastanaka nezgode, odnosno kada se ne može sa sigurnošću utvrditi koja od radnji je primarno dovela do nezgode, a koja je doprinijela da nezgoda nastane, odnosno da šteta bude veća nego što bi inače bila, od presudnog značaja je pravilna analiza dinamike toka nezgode koju radi vještak saobaćajne struke. Analiza ponašanja učesnika u nezgodi će nam dati odgovore na osnovu kojih će sud utvrditi pravno relevantne činjenice i pravilno odrediti doprinose za nastanak nezgode.</w:t>
      </w:r>
    </w:p>
    <w:p w14:paraId="052623EF" w14:textId="77777777" w:rsidR="007116F8" w:rsidRPr="00530C4A" w:rsidRDefault="007116F8" w:rsidP="007116F8">
      <w:pPr>
        <w:rPr>
          <w:rFonts w:ascii="Georgia" w:hAnsi="Georgia" w:cs="Tahoma"/>
          <w:sz w:val="20"/>
          <w:szCs w:val="20"/>
          <w:lang w:val="sr-Latn-BA"/>
        </w:rPr>
      </w:pPr>
    </w:p>
    <w:p w14:paraId="233D4079" w14:textId="77777777" w:rsidR="007116F8" w:rsidRPr="00530C4A" w:rsidRDefault="007116F8" w:rsidP="007116F8">
      <w:pPr>
        <w:rPr>
          <w:rFonts w:ascii="Georgia" w:hAnsi="Georgia" w:cs="Tahoma"/>
          <w:sz w:val="20"/>
          <w:szCs w:val="20"/>
          <w:lang w:val="sr-Latn-BA"/>
        </w:rPr>
      </w:pPr>
    </w:p>
    <w:p w14:paraId="6AA8C6EE" w14:textId="77777777" w:rsidR="007116F8" w:rsidRPr="00530C4A" w:rsidRDefault="007116F8" w:rsidP="007116F8">
      <w:pPr>
        <w:rPr>
          <w:rFonts w:ascii="Georgia" w:hAnsi="Georgia" w:cs="Tahoma"/>
          <w:sz w:val="20"/>
          <w:szCs w:val="20"/>
          <w:lang w:val="sr-Latn-BA"/>
        </w:rPr>
      </w:pPr>
    </w:p>
    <w:p w14:paraId="67E482EF" w14:textId="77777777" w:rsidR="007116F8" w:rsidRPr="00530C4A" w:rsidRDefault="007116F8" w:rsidP="007116F8">
      <w:pPr>
        <w:rPr>
          <w:rFonts w:ascii="Georgia" w:hAnsi="Georgia" w:cs="Tahoma"/>
          <w:sz w:val="20"/>
          <w:szCs w:val="20"/>
          <w:lang w:val="sr-Latn-BA"/>
        </w:rPr>
      </w:pPr>
    </w:p>
    <w:p w14:paraId="447FE8EF" w14:textId="77777777" w:rsidR="007116F8" w:rsidRPr="00530C4A" w:rsidRDefault="007116F8" w:rsidP="007116F8">
      <w:pPr>
        <w:rPr>
          <w:rFonts w:ascii="Georgia" w:hAnsi="Georgia" w:cs="Tahoma"/>
          <w:sz w:val="20"/>
          <w:szCs w:val="20"/>
          <w:lang w:val="sr-Latn-BA"/>
        </w:rPr>
      </w:pPr>
    </w:p>
    <w:p w14:paraId="7A17F80E" w14:textId="77777777" w:rsidR="007116F8" w:rsidRPr="00530C4A" w:rsidRDefault="007116F8" w:rsidP="007116F8">
      <w:pPr>
        <w:rPr>
          <w:rFonts w:ascii="Georgia" w:hAnsi="Georgia" w:cs="Tahoma"/>
          <w:sz w:val="20"/>
          <w:szCs w:val="20"/>
          <w:lang w:val="sr-Latn-BA"/>
        </w:rPr>
      </w:pPr>
    </w:p>
    <w:p w14:paraId="0C908EC9" w14:textId="77777777" w:rsidR="00D36F74" w:rsidRPr="00530C4A" w:rsidRDefault="00D36F74" w:rsidP="007116F8">
      <w:pPr>
        <w:rPr>
          <w:rFonts w:ascii="Georgia" w:hAnsi="Georgia" w:cs="Tahoma"/>
          <w:sz w:val="20"/>
          <w:szCs w:val="20"/>
          <w:lang w:val="sr-Latn-BA"/>
        </w:rPr>
      </w:pPr>
    </w:p>
    <w:p w14:paraId="20C25AB6" w14:textId="77777777" w:rsidR="00D36F74" w:rsidRPr="00530C4A" w:rsidRDefault="00D36F74" w:rsidP="007116F8">
      <w:pPr>
        <w:rPr>
          <w:rFonts w:ascii="Georgia" w:hAnsi="Georgia" w:cs="Tahoma"/>
          <w:sz w:val="20"/>
          <w:szCs w:val="20"/>
          <w:lang w:val="sr-Latn-BA"/>
        </w:rPr>
      </w:pPr>
    </w:p>
    <w:p w14:paraId="78D0CB35" w14:textId="77777777" w:rsidR="00D36F74" w:rsidRPr="00530C4A" w:rsidRDefault="00D36F74" w:rsidP="007116F8">
      <w:pPr>
        <w:rPr>
          <w:rFonts w:ascii="Georgia" w:hAnsi="Georgia" w:cs="Tahoma"/>
          <w:sz w:val="20"/>
          <w:szCs w:val="20"/>
          <w:lang w:val="sr-Latn-BA"/>
        </w:rPr>
      </w:pPr>
    </w:p>
    <w:p w14:paraId="7D10BACB" w14:textId="77777777" w:rsidR="00D36F74" w:rsidRPr="00530C4A" w:rsidRDefault="00D36F74" w:rsidP="007116F8">
      <w:pPr>
        <w:rPr>
          <w:rFonts w:ascii="Georgia" w:hAnsi="Georgia" w:cs="Tahoma"/>
          <w:sz w:val="20"/>
          <w:szCs w:val="20"/>
          <w:lang w:val="sr-Latn-BA"/>
        </w:rPr>
      </w:pPr>
    </w:p>
    <w:p w14:paraId="05DAF868" w14:textId="77777777" w:rsidR="00D36F74" w:rsidRPr="00530C4A" w:rsidRDefault="00D36F74" w:rsidP="007116F8">
      <w:pPr>
        <w:rPr>
          <w:rFonts w:ascii="Georgia" w:hAnsi="Georgia" w:cs="Tahoma"/>
          <w:sz w:val="20"/>
          <w:szCs w:val="20"/>
          <w:lang w:val="sr-Latn-BA"/>
        </w:rPr>
      </w:pPr>
    </w:p>
    <w:p w14:paraId="3C786E98" w14:textId="77777777" w:rsidR="00D36F74" w:rsidRPr="00530C4A" w:rsidRDefault="00D36F74" w:rsidP="007116F8">
      <w:pPr>
        <w:rPr>
          <w:rFonts w:ascii="Georgia" w:hAnsi="Georgia" w:cs="Tahoma"/>
          <w:sz w:val="20"/>
          <w:szCs w:val="20"/>
          <w:lang w:val="sr-Latn-BA"/>
        </w:rPr>
      </w:pPr>
    </w:p>
    <w:p w14:paraId="73379BA0" w14:textId="77777777" w:rsidR="00D36F74" w:rsidRPr="00530C4A" w:rsidRDefault="00D36F74" w:rsidP="007116F8">
      <w:pPr>
        <w:rPr>
          <w:rFonts w:ascii="Georgia" w:hAnsi="Georgia" w:cs="Tahoma"/>
          <w:sz w:val="20"/>
          <w:szCs w:val="20"/>
          <w:lang w:val="sr-Latn-BA"/>
        </w:rPr>
      </w:pPr>
    </w:p>
    <w:p w14:paraId="375A443C" w14:textId="77777777" w:rsidR="00D36F74" w:rsidRPr="00530C4A" w:rsidRDefault="00D36F74" w:rsidP="007116F8">
      <w:pPr>
        <w:rPr>
          <w:rFonts w:ascii="Georgia" w:hAnsi="Georgia" w:cs="Tahoma"/>
          <w:sz w:val="20"/>
          <w:szCs w:val="20"/>
          <w:lang w:val="sr-Latn-BA"/>
        </w:rPr>
      </w:pPr>
    </w:p>
    <w:p w14:paraId="1CF8760F" w14:textId="77777777" w:rsidR="00D36F74" w:rsidRPr="00530C4A" w:rsidRDefault="00D36F74" w:rsidP="007116F8">
      <w:pPr>
        <w:rPr>
          <w:rFonts w:ascii="Georgia" w:hAnsi="Georgia" w:cs="Tahoma"/>
          <w:sz w:val="20"/>
          <w:szCs w:val="20"/>
          <w:lang w:val="sr-Latn-BA"/>
        </w:rPr>
      </w:pPr>
    </w:p>
    <w:p w14:paraId="7FDF21B8" w14:textId="77777777" w:rsidR="007116F8" w:rsidRPr="00530C4A" w:rsidRDefault="007116F8" w:rsidP="007116F8">
      <w:pPr>
        <w:widowControl/>
        <w:numPr>
          <w:ilvl w:val="0"/>
          <w:numId w:val="20"/>
        </w:numPr>
        <w:spacing w:after="0"/>
        <w:ind w:left="0" w:firstLine="0"/>
        <w:rPr>
          <w:rFonts w:ascii="Georgia" w:hAnsi="Georgia" w:cs="Tahoma"/>
          <w:b/>
          <w:sz w:val="20"/>
          <w:szCs w:val="20"/>
          <w:lang w:val="sr-Latn-BA" w:eastAsia="sr-Cyrl-CS"/>
        </w:rPr>
      </w:pPr>
      <w:r w:rsidRPr="00530C4A">
        <w:rPr>
          <w:rFonts w:ascii="Georgia" w:hAnsi="Georgia" w:cs="Tahoma"/>
          <w:b/>
          <w:sz w:val="20"/>
          <w:szCs w:val="20"/>
          <w:lang w:val="sr-Latn-BA" w:eastAsia="sr-Cyrl-CS"/>
        </w:rPr>
        <w:t>ODGOVORNOST ZA NASTANAK NEZGODE</w:t>
      </w:r>
    </w:p>
    <w:p w14:paraId="2E1D7FCA" w14:textId="77777777" w:rsidR="007116F8" w:rsidRPr="00530C4A" w:rsidRDefault="007116F8" w:rsidP="007116F8">
      <w:pPr>
        <w:rPr>
          <w:rFonts w:ascii="Georgia" w:hAnsi="Georgia" w:cs="Tahoma"/>
          <w:sz w:val="20"/>
          <w:szCs w:val="20"/>
          <w:lang w:val="sr-Latn-BA"/>
        </w:rPr>
      </w:pPr>
    </w:p>
    <w:p w14:paraId="19AD7FC4"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 xml:space="preserve">Odgovornost za nastanak saobraćajne nezgode je normirana odredbama člana 178. Zakona o obligacionim odnosima, kao poseban vid odgovornosti u našem pravu. Iako je riječ o motornim vozilima kao opasnim stvarima, zakon propisuje da se odgovornost određuje po pravilima o subjektivnoj odgovornosti po osnovu prezumpirane krivice (član 158. do 163. ZOO).  Krivica postoji kad je štetnik uzrokovao štetu namjerno ili nepažnjom. </w:t>
      </w:r>
    </w:p>
    <w:p w14:paraId="3B2DCDD4"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Kao opšte pretpostavke građanskopravne odgovornosti za štetu smatraju se: postojanje štete, nedopušteno štetnikovo djelo i uzročna veza između djela i nastupile štete.</w:t>
      </w:r>
    </w:p>
    <w:p w14:paraId="54317DB6"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Pitanja na koja sud može dati odgovor tek nakon provedenog saobraćajnog vještačenja se tiču upravo nedopuštenosti ponašanja učesnika u saobraćaju i uzročne veze između takvog ponašanja i  nastupile posljedice. Ovde je bitno napomenuti i teoriju adekvatne uzročnosti po kojoj je od svih mogućih postojećih činjenica koje su u vezi sa konkretnim uzrokovanjem štete pravnorelevantna samo ona činjenica, onaj uzrok koji je adekvatan nastaloj šteti, a kao takav (od lat. Adaequare – izjednačiti) smatra se samo onaj uzrok koji je podudaran i odgovarajući konkretno nastaloj šteti. Koji će uzrok biti adekvatan, tipičan i očekivan, zavisiće od svake konkretne situacije, a doći će do situacije da je jedan isti uzrok u jednom slučaju imati pravnorelevantno značenje, a u drugom to neće, no uprkos toga je najbitnije pri ocjenjivanju svakog slučaja poredi konkretno ponašanje učesnika u nezgodi sa  ponašenjem koje je pravilno, dozvoljeno i uobičajeno po redovnom toku stvari, apstrahujući svaku izvanrednost i neredovnost.</w:t>
      </w:r>
      <w:r w:rsidRPr="00530C4A">
        <w:rPr>
          <w:rStyle w:val="Referencafusnote"/>
          <w:rFonts w:ascii="Georgia" w:hAnsi="Georgia" w:cs="Tahoma"/>
          <w:sz w:val="20"/>
          <w:szCs w:val="20"/>
          <w:lang w:val="sr-Latn-BA"/>
        </w:rPr>
        <w:footnoteReference w:id="5"/>
      </w:r>
    </w:p>
    <w:p w14:paraId="57B90BB0"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Zakonom o osnovama bezbjednosti saobraćaja na putevima u BiH je na posredan način propisano načelo povjerenja</w:t>
      </w:r>
      <w:r w:rsidRPr="00530C4A">
        <w:rPr>
          <w:rStyle w:val="Referencafusnote"/>
          <w:rFonts w:ascii="Georgia" w:hAnsi="Georgia" w:cs="Tahoma"/>
          <w:sz w:val="20"/>
          <w:szCs w:val="20"/>
          <w:lang w:val="sr-Latn-BA"/>
        </w:rPr>
        <w:footnoteReference w:id="6"/>
      </w:r>
      <w:r w:rsidRPr="00530C4A">
        <w:rPr>
          <w:rFonts w:ascii="Georgia" w:hAnsi="Georgia" w:cs="Tahoma"/>
          <w:sz w:val="20"/>
          <w:szCs w:val="20"/>
          <w:lang w:val="sr-Latn-BA"/>
        </w:rPr>
        <w:t xml:space="preserve"> kao opšte načelo. Prvo jednom opštom odredbom u članu 3. zakonodavac definiše da su učesnici u saobraćaju dužni poštovati odredbe ovog Zakona i druge propise iz oblasti sigurnosti saobraćaja na putevima, razvijati humane odnose među lјudima radi zaštite zdravlјa i života drugih lica, a naročito djece, invalida, starih i nemoćnih lica, i brinuti se o zaštiti životne sredine, te da ne smiju ometati saobraćaj, oštećivati puteve, objekte i opremu na putu. Pravilima saobraćaja, počev od člana 25. zakon izdvaja određene grupe učesnika u saobraćaju (djecu, stare, lica sa invaliditetom...) prema kojim zbog njihovih karkateristika vozači moraju posvetiti posebnu pažnju, odnosno načelo nepovjerenja ili ograničenog povjerenja. Isto tako zakonodavac  izdvaja određene saobraćajne situacije (prilazak pješakom prelazu, na dijelu puta po kojem se kreću djeca, vozila koje se kreću pored vozila javnog prevoza putnika, vozila koje se kreću iza vozila kojim se prevoze djeca...) u kojima se pravi izuzetak od načela povjerenja. Upravo ovakvim izdvajanjem zakonodavac je naglasio kada vozač mora posvetiti posebnu dodatnu, odnosno kada naročitu pažnju (defanzivna vožnja). Argumentum a contrario, u svim drugim slučajevima vozači se mogu pouzdati da će svi učesnici postupati u skladu sa zakonom (načelo povjerenja).</w:t>
      </w:r>
    </w:p>
    <w:p w14:paraId="7ECFEA5F" w14:textId="436D5EA1"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 xml:space="preserve">Zakon o bezbjednosti saobraćaja na putevima Republike Srpske, u članu 4. izričito propisuje obavezu izbjegavanja opasnih situacija nastalih nepropisnim ponašanjem drugih učesnika u saobraćaju. </w:t>
      </w:r>
    </w:p>
    <w:p w14:paraId="28292AE2" w14:textId="77777777" w:rsidR="007116F8" w:rsidRPr="00530C4A" w:rsidRDefault="007116F8" w:rsidP="007116F8">
      <w:pPr>
        <w:rPr>
          <w:rStyle w:val="fontstyle01"/>
          <w:rFonts w:ascii="Georgia" w:hAnsi="Georgia" w:cs="Tahoma"/>
          <w:sz w:val="20"/>
          <w:szCs w:val="20"/>
          <w:lang w:val="sr-Latn-BA"/>
        </w:rPr>
      </w:pPr>
      <w:r w:rsidRPr="00530C4A">
        <w:rPr>
          <w:rStyle w:val="fontstyle01"/>
          <w:rFonts w:ascii="Georgia" w:hAnsi="Georgia" w:cs="Tahoma"/>
          <w:sz w:val="20"/>
          <w:szCs w:val="20"/>
          <w:lang w:val="sr-Latn-BA"/>
        </w:rPr>
        <w:t>Na osnovu navedenih zakonskih odredbi vidimo koja su pitanja na koja moramo dati odgovore u toku suđenja, a samim tim se definiše i sam zadatak vještaka saobraćajne struke u parničnom postupku.</w:t>
      </w:r>
    </w:p>
    <w:p w14:paraId="27913ECF"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Zadatak vještaku bi trebao biti da na osnovu raspoložive dokumentacije u spisu i eventualnog izlaska na mjesto nezgode, izvrši analizu i da se izjasni o učesnicima nezgode; putu, saobraćajnoj signalizaciji i vremenu; eventualnim povredama učesnika; oštećenjima vozila; tragovima saobraćajne nezgode; brzini i dinamici kretanja vozila; te da sačini vremensko-prostornu analizu mogućnosti izbjegavanja nezgode (neposredno prije, kao i u trenutku nastanka nezgode); kao i da analizira način nastanka nezgode i kompatibilnost sudarnog procesa i nastalih oštećenja.</w:t>
      </w:r>
      <w:r w:rsidRPr="00530C4A">
        <w:rPr>
          <w:rStyle w:val="Referencafusnote"/>
          <w:rFonts w:ascii="Georgia" w:hAnsi="Georgia" w:cs="Tahoma"/>
          <w:sz w:val="20"/>
          <w:szCs w:val="20"/>
          <w:lang w:val="sr-Latn-BA"/>
        </w:rPr>
        <w:footnoteReference w:id="7"/>
      </w:r>
    </w:p>
    <w:p w14:paraId="08E57975"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lastRenderedPageBreak/>
        <w:t>Iz ovako postavljenog zadatka, za utvrđivanje krivice i podijeljene odgovornosti koja je tema ovog rada, najbitiniji faktor je svakako vremensko prostorna analiza u kojoj vještak ima i svoju esencijalnu ulogu u toku postupka.</w:t>
      </w:r>
    </w:p>
    <w:p w14:paraId="20AFF081"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 xml:space="preserve">Vještak je taj koji će na osnovu raspoložive dokumentacije u spisu (u skladu sa stranačkim načelom) prvenstveno utvrditi kako se neko od učesnika u nezgodi ponašao, a zatim napraviti analizu mogućnosti izbjegavanja nezgode. </w:t>
      </w:r>
    </w:p>
    <w:p w14:paraId="559F0F02"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Polazeći od definicije opasne situacije</w:t>
      </w:r>
      <w:r w:rsidRPr="00530C4A">
        <w:rPr>
          <w:rStyle w:val="Referencafusnote"/>
          <w:rFonts w:ascii="Georgia" w:hAnsi="Georgia" w:cs="Tahoma"/>
          <w:sz w:val="20"/>
          <w:szCs w:val="20"/>
          <w:lang w:val="sr-Latn-BA"/>
        </w:rPr>
        <w:footnoteReference w:id="8"/>
      </w:r>
      <w:r w:rsidRPr="00530C4A">
        <w:rPr>
          <w:rFonts w:ascii="Georgia" w:hAnsi="Georgia" w:cs="Tahoma"/>
          <w:sz w:val="20"/>
          <w:szCs w:val="20"/>
          <w:lang w:val="sr-Latn-BA"/>
        </w:rPr>
        <w:t xml:space="preserve"> ovom prilikom je neophodno naglasiti da radnja kojom vozač stvara opasnu situaciju mora biti nedopuštena. Kao primjer ovog slučaja možda je najbolje navesti koliziju lijevog skretanja u odnosu na nedozvoljenu brzinu  kretanja vozila koje se kreće iz suprotnog smjera.</w:t>
      </w:r>
    </w:p>
    <w:p w14:paraId="3E0FA3FE"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 xml:space="preserve">Još odredbama Bečke konvencije definisana je obaveza vozača da propusti druga vozila, odnosno da ne smije da nastavi vožnju ili manevrisanje ako bi time primorao vozače drugih vozila (koji se kreću u skladu sa zakonom) da </w:t>
      </w:r>
      <w:r w:rsidRPr="00530C4A">
        <w:rPr>
          <w:rFonts w:ascii="Georgia" w:hAnsi="Georgia" w:cs="Tahoma"/>
          <w:b/>
          <w:sz w:val="20"/>
          <w:szCs w:val="20"/>
          <w:lang w:val="sr-Latn-BA"/>
        </w:rPr>
        <w:t xml:space="preserve">naglo </w:t>
      </w:r>
      <w:r w:rsidRPr="00530C4A">
        <w:rPr>
          <w:rFonts w:ascii="Georgia" w:hAnsi="Georgia" w:cs="Tahoma"/>
          <w:sz w:val="20"/>
          <w:szCs w:val="20"/>
          <w:lang w:val="sr-Latn-BA"/>
        </w:rPr>
        <w:t>mijenjanju smjer ili brzinu svojih vozila. Ovakvo rješenje prihvata i naš zakon.</w:t>
      </w:r>
      <w:r w:rsidRPr="00530C4A">
        <w:rPr>
          <w:rStyle w:val="Referencafusnote"/>
          <w:rFonts w:ascii="Georgia" w:hAnsi="Georgia" w:cs="Tahoma"/>
          <w:sz w:val="20"/>
          <w:szCs w:val="20"/>
          <w:lang w:val="sr-Latn-BA"/>
        </w:rPr>
        <w:footnoteReference w:id="9"/>
      </w:r>
      <w:r w:rsidRPr="00530C4A">
        <w:rPr>
          <w:rFonts w:ascii="Georgia" w:hAnsi="Georgia" w:cs="Tahoma"/>
          <w:sz w:val="20"/>
          <w:szCs w:val="20"/>
          <w:lang w:val="sr-Latn-BA"/>
        </w:rPr>
        <w:t xml:space="preserve"> Dakle, pravo prvenstva prolaza nije apsolutno pravo, već je u skladu sa načelom povjerenja ograničeno na situacije u kojima se vozač koji se poziva na to pravo kreće u skladu sa zakonom.</w:t>
      </w:r>
    </w:p>
    <w:p w14:paraId="7A5750A2" w14:textId="02BD3E55" w:rsidR="00D36F74"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Radnja oštećenog može biti uzrok štetnog događaja, doprinos u nastanku ili doprinos u posljedici.</w:t>
      </w:r>
    </w:p>
    <w:p w14:paraId="310CF083" w14:textId="77777777" w:rsidR="00D36F74" w:rsidRPr="00530C4A" w:rsidRDefault="00D36F74" w:rsidP="007116F8">
      <w:pPr>
        <w:rPr>
          <w:rFonts w:ascii="Georgia" w:hAnsi="Georgia" w:cs="Tahoma"/>
          <w:sz w:val="20"/>
          <w:szCs w:val="20"/>
          <w:lang w:val="sr-Latn-BA" w:eastAsia="sr-Cyrl-CS"/>
        </w:rPr>
      </w:pPr>
    </w:p>
    <w:p w14:paraId="4A229C4B" w14:textId="77777777" w:rsidR="007116F8" w:rsidRPr="00530C4A" w:rsidRDefault="007116F8" w:rsidP="007116F8">
      <w:pPr>
        <w:widowControl/>
        <w:numPr>
          <w:ilvl w:val="0"/>
          <w:numId w:val="20"/>
        </w:numPr>
        <w:spacing w:after="0"/>
        <w:ind w:left="0" w:firstLine="0"/>
        <w:rPr>
          <w:rFonts w:ascii="Georgia" w:hAnsi="Georgia" w:cs="Tahoma"/>
          <w:b/>
          <w:sz w:val="20"/>
          <w:szCs w:val="20"/>
          <w:lang w:val="sr-Latn-BA" w:eastAsia="sr-Cyrl-CS"/>
        </w:rPr>
      </w:pPr>
      <w:r w:rsidRPr="00530C4A">
        <w:rPr>
          <w:rFonts w:ascii="Georgia" w:hAnsi="Georgia" w:cs="Tahoma"/>
          <w:b/>
          <w:sz w:val="20"/>
          <w:szCs w:val="20"/>
          <w:lang w:val="sr-Latn-BA" w:eastAsia="sr-Cyrl-CS"/>
        </w:rPr>
        <w:t xml:space="preserve">PODIJELJENA ODGOVORNOST </w:t>
      </w:r>
    </w:p>
    <w:p w14:paraId="2CD2D2AC" w14:textId="77777777" w:rsidR="007116F8" w:rsidRPr="00530C4A" w:rsidRDefault="007116F8" w:rsidP="007116F8">
      <w:pPr>
        <w:rPr>
          <w:rFonts w:ascii="Georgia" w:hAnsi="Georgia" w:cs="Tahoma"/>
          <w:sz w:val="20"/>
          <w:szCs w:val="20"/>
          <w:lang w:val="sr-Latn-BA" w:eastAsia="sr-Cyrl-CS"/>
        </w:rPr>
      </w:pPr>
    </w:p>
    <w:p w14:paraId="2EE8D9C4"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Podijeljena  odgovornost je regulisana odredbama člana 192. i 205. Zakona o obligacionim odnosima RS/FBiH.</w:t>
      </w:r>
    </w:p>
    <w:p w14:paraId="5FD76534"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Podijeljena odgovornost podrazumijeva odgovornost više lica za nastanak štetnog događaja ili za doprinos u visini štete. Oštećenik koji je pridonio da šteta nastane ili da bude veća nego što bi inače bila, ima pravo samo na srazmjerno smanjenu naknadu.</w:t>
      </w:r>
    </w:p>
    <w:p w14:paraId="25C914EA"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Kod odlučivanja u postupcima naknade štete iz saobraćajnih nezgoda, potrebno je ocijeniti koje ponašanje oštećenog je nepropisno sa stajališta nastanka štetnog događaja i/ili uvećanja štete koju je pretrpio.</w:t>
      </w:r>
    </w:p>
    <w:p w14:paraId="1F2A7838"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Podijeljenu odgovornost je nužno razlikovati od solidarne odgovornosti. Solidarna odgovornost je odgovornost više lica za istu štetu u kojoj ta lica prema trećim licima odgovaraju po principu svi za sve, a onda u eventualnim regresnim parnicama uređuju svoje međusobne odnose i doprinose u nastanku. Solidarna odgovornost može biti i podijeljena, ali i isključiva odgovornost jednog od učesnika. Solidarnost se ispoljava prema prema vani i ne dira u unutrašnji odnos lica.</w:t>
      </w:r>
    </w:p>
    <w:p w14:paraId="0F89EF4B" w14:textId="1D5769A5" w:rsidR="007116F8" w:rsidRPr="00530C4A" w:rsidRDefault="007116F8" w:rsidP="00D36F74">
      <w:pPr>
        <w:rPr>
          <w:rFonts w:ascii="Georgia" w:hAnsi="Georgia" w:cs="Tahoma"/>
          <w:sz w:val="20"/>
          <w:szCs w:val="20"/>
          <w:lang w:val="sr-Latn-BA" w:eastAsia="sr-Cyrl-CS"/>
        </w:rPr>
      </w:pPr>
      <w:r w:rsidRPr="00530C4A">
        <w:rPr>
          <w:rFonts w:ascii="Georgia" w:hAnsi="Georgia" w:cs="Tahoma"/>
          <w:sz w:val="20"/>
          <w:szCs w:val="20"/>
          <w:lang w:val="sr-Latn-BA" w:eastAsia="sr-Cyrl-CS"/>
        </w:rPr>
        <w:t>Kod podijeljene odgovornosti u parničnom postupku prvenstveno je bitan odnos oštećenog (tužioca) i štetnika, odnosno doprinos oštećenog nastanku ili visini štete. Štetnik se ne može pozivati na  doprinos trećih lica</w:t>
      </w:r>
      <w:r w:rsidRPr="00530C4A">
        <w:rPr>
          <w:rStyle w:val="Referencafusnote"/>
          <w:rFonts w:ascii="Georgia" w:hAnsi="Georgia" w:cs="Tahoma"/>
          <w:sz w:val="20"/>
          <w:szCs w:val="20"/>
          <w:lang w:val="sr-Latn-BA" w:eastAsia="sr-Cyrl-CS"/>
        </w:rPr>
        <w:footnoteReference w:id="10"/>
      </w:r>
      <w:r w:rsidRPr="00530C4A">
        <w:rPr>
          <w:rFonts w:ascii="Georgia" w:hAnsi="Georgia" w:cs="Tahoma"/>
          <w:sz w:val="20"/>
          <w:szCs w:val="20"/>
          <w:lang w:val="sr-Latn-BA" w:eastAsia="sr-Cyrl-CS"/>
        </w:rPr>
        <w:t>, već po pravilu takva lica treba, kao solidarne dužnike pozvati u svojstvu umješača u parnicu. Ovakvo rješenje proizilazi i iz odredbi člana 178. stav 4</w:t>
      </w:r>
      <w:r w:rsidRPr="00530C4A">
        <w:rPr>
          <w:rStyle w:val="Referencafusnote"/>
          <w:rFonts w:ascii="Georgia" w:hAnsi="Georgia" w:cs="Tahoma"/>
          <w:sz w:val="20"/>
          <w:szCs w:val="20"/>
          <w:lang w:val="sr-Latn-BA" w:eastAsia="sr-Cyrl-CS"/>
        </w:rPr>
        <w:footnoteReference w:id="11"/>
      </w:r>
      <w:r w:rsidRPr="00530C4A">
        <w:rPr>
          <w:rFonts w:ascii="Georgia" w:hAnsi="Georgia" w:cs="Tahoma"/>
          <w:sz w:val="20"/>
          <w:szCs w:val="20"/>
          <w:lang w:val="sr-Latn-BA" w:eastAsia="sr-Cyrl-CS"/>
        </w:rPr>
        <w:t xml:space="preserve">. ZOO. </w:t>
      </w:r>
    </w:p>
    <w:p w14:paraId="4F8C5999" w14:textId="77777777" w:rsidR="007116F8" w:rsidRPr="00530C4A" w:rsidRDefault="007116F8" w:rsidP="007116F8">
      <w:pPr>
        <w:pStyle w:val="Paragrafspiska"/>
        <w:numPr>
          <w:ilvl w:val="0"/>
          <w:numId w:val="20"/>
        </w:numPr>
        <w:rPr>
          <w:rFonts w:ascii="Georgia" w:eastAsia="Times New Roman" w:hAnsi="Georgia" w:cs="Tahoma"/>
          <w:b/>
          <w:sz w:val="20"/>
          <w:szCs w:val="20"/>
          <w:lang w:val="sr-Latn-BA" w:eastAsia="sr-Cyrl-CS"/>
        </w:rPr>
      </w:pPr>
      <w:r w:rsidRPr="00530C4A">
        <w:rPr>
          <w:rFonts w:ascii="Georgia" w:eastAsia="Times New Roman" w:hAnsi="Georgia" w:cs="Tahoma"/>
          <w:b/>
          <w:sz w:val="20"/>
          <w:szCs w:val="20"/>
          <w:lang w:val="sr-Latn-BA" w:eastAsia="sr-Cyrl-CS"/>
        </w:rPr>
        <w:lastRenderedPageBreak/>
        <w:t>SAOBRAĆAJNE NEZGODE TIPA: VOZILO-PJEŠAK</w:t>
      </w:r>
    </w:p>
    <w:p w14:paraId="2E36F92D" w14:textId="77777777" w:rsidR="007116F8" w:rsidRPr="00530C4A" w:rsidRDefault="007116F8" w:rsidP="007116F8">
      <w:pPr>
        <w:rPr>
          <w:rFonts w:ascii="Georgia" w:hAnsi="Georgia" w:cs="Tahoma"/>
          <w:sz w:val="20"/>
          <w:szCs w:val="20"/>
          <w:lang w:val="sr-Latn-BA" w:eastAsia="sr-Cyrl-CS"/>
        </w:rPr>
      </w:pPr>
    </w:p>
    <w:p w14:paraId="3FC11617"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U sudaru vozila i pješaka se primjenjuju pravila o objektivnoj odgovornosti jer se vozilo smatra opasnom stvari u odnosu na pješaka (član 173. i 174. ZOO). Teret dokazivanja postojanja elemenata za oslobađanje od odgovornosti je na imaocu motornog vozila (član 177. ZOO). Pješak dokazuje samo uzročnu vezu između nastupile štete i opasne stvari (vozila). </w:t>
      </w:r>
    </w:p>
    <w:p w14:paraId="5EE9EB50"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Prilikom utvrđivanja odgovornosti i eventualne podijeljene odgovornosti prvenstveno je potrebno analizirati dopuštenosti</w:t>
      </w:r>
      <w:r w:rsidRPr="00530C4A">
        <w:rPr>
          <w:rStyle w:val="Referencafusnote"/>
          <w:rFonts w:ascii="Georgia" w:hAnsi="Georgia" w:cs="Tahoma"/>
          <w:sz w:val="20"/>
          <w:szCs w:val="20"/>
          <w:lang w:val="sr-Latn-BA" w:eastAsia="sr-Cyrl-CS"/>
        </w:rPr>
        <w:footnoteReference w:id="12"/>
      </w:r>
      <w:r w:rsidRPr="00530C4A">
        <w:rPr>
          <w:rFonts w:ascii="Georgia" w:hAnsi="Georgia" w:cs="Tahoma"/>
          <w:sz w:val="20"/>
          <w:szCs w:val="20"/>
          <w:lang w:val="sr-Latn-BA" w:eastAsia="sr-Cyrl-CS"/>
        </w:rPr>
        <w:t xml:space="preserve"> radnji svih učesnika u nezgodi.</w:t>
      </w:r>
    </w:p>
    <w:p w14:paraId="3101E681"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 xml:space="preserve">Odredbama ZooBS BiH normirano je da je prelazak kolovoza pješaku je dozvoljen na udaljenosti većoj od 100 metara od pješačkog prelaza, nadzemnog prelaza ili podzemnog prelaza s tim da je pješak dužan da preko kolovoza prelazi pažljivo i najkraćim putem, nakon što se uvjeri da to može </w:t>
      </w:r>
      <w:r w:rsidRPr="00530C4A">
        <w:rPr>
          <w:rFonts w:ascii="Georgia" w:hAnsi="Georgia" w:cs="Tahoma"/>
          <w:b/>
          <w:sz w:val="20"/>
          <w:szCs w:val="20"/>
          <w:lang w:val="sr-Latn-BA"/>
        </w:rPr>
        <w:t>da učini na bezbjedan način, odnosno da propusti vozila koja se kreću kolovozom.</w:t>
      </w:r>
      <w:r w:rsidRPr="00530C4A">
        <w:rPr>
          <w:rFonts w:ascii="Georgia" w:hAnsi="Georgia" w:cs="Tahoma"/>
          <w:sz w:val="20"/>
          <w:szCs w:val="20"/>
          <w:lang w:val="sr-Latn-BA"/>
        </w:rPr>
        <w:t xml:space="preserve"> </w:t>
      </w:r>
    </w:p>
    <w:p w14:paraId="0E020BB1"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 xml:space="preserve">Vozač ima obavezu da obrati pažnju na pješaka koji se nalazi na kolovozu ili stupa na kolovoz ili iskazuje nameru da će stupiti na kolovoz,  ali nema obavezu da očekuje da ga pješak neće propustiti. </w:t>
      </w:r>
    </w:p>
    <w:p w14:paraId="35B930EE" w14:textId="7F873EB1"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Pješak nema pravo da očekuje da će ga vozač propustiti. Ako je vidljivost ili preglednost smanjena ili onemogućena, vozač nije obavezan da očekuje stupanje ili prelazak pješaka preko kolovoza.</w:t>
      </w:r>
      <w:r w:rsidRPr="00530C4A">
        <w:rPr>
          <w:rStyle w:val="Referencafusnote"/>
          <w:rFonts w:ascii="Georgia" w:hAnsi="Georgia" w:cs="Tahoma"/>
          <w:sz w:val="20"/>
          <w:szCs w:val="20"/>
          <w:lang w:val="sr-Latn-BA"/>
        </w:rPr>
        <w:footnoteReference w:id="13"/>
      </w:r>
    </w:p>
    <w:p w14:paraId="631EE290"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Kada se posmatra tužbeni zahtjev povrijeđenog pješaka ili tužbeni zahtjev porodice nastradalog pješaka, tada je potrebno u postupku saobraćajnog vještačenja u parničnom postupku utvrditi:</w:t>
      </w:r>
    </w:p>
    <w:p w14:paraId="32E687DA" w14:textId="77777777" w:rsidR="007116F8" w:rsidRPr="00530C4A" w:rsidRDefault="007116F8" w:rsidP="007116F8">
      <w:pPr>
        <w:pStyle w:val="Paragrafspiska"/>
        <w:numPr>
          <w:ilvl w:val="0"/>
          <w:numId w:val="21"/>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dopuštenost radnji učesnika u nezgodi,</w:t>
      </w:r>
    </w:p>
    <w:p w14:paraId="50F6925B" w14:textId="77777777" w:rsidR="007116F8" w:rsidRPr="00530C4A" w:rsidRDefault="007116F8" w:rsidP="007116F8">
      <w:pPr>
        <w:pStyle w:val="Paragrafspiska"/>
        <w:numPr>
          <w:ilvl w:val="0"/>
          <w:numId w:val="21"/>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odgovornost za nastanak opasne saobraćajne situacije koja je prethodila saobraćajnoj nezgodi,</w:t>
      </w:r>
    </w:p>
    <w:p w14:paraId="1E5996EF" w14:textId="77777777" w:rsidR="007116F8" w:rsidRPr="00530C4A" w:rsidRDefault="007116F8" w:rsidP="007116F8">
      <w:pPr>
        <w:pStyle w:val="Paragrafspiska"/>
        <w:numPr>
          <w:ilvl w:val="0"/>
          <w:numId w:val="21"/>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pojedinačne doprinose nastanku saobraćajne nezgode,</w:t>
      </w:r>
    </w:p>
    <w:p w14:paraId="6E001B8C" w14:textId="77777777" w:rsidR="007116F8" w:rsidRPr="00530C4A" w:rsidRDefault="007116F8" w:rsidP="007116F8">
      <w:pPr>
        <w:pStyle w:val="Paragrafspiska"/>
        <w:numPr>
          <w:ilvl w:val="0"/>
          <w:numId w:val="21"/>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mogućnost izbjegavanja saobraćajne nezgode.</w:t>
      </w:r>
    </w:p>
    <w:p w14:paraId="5A87FE63" w14:textId="77777777" w:rsidR="007116F8" w:rsidRPr="00530C4A" w:rsidRDefault="007116F8" w:rsidP="007116F8">
      <w:pPr>
        <w:rPr>
          <w:rFonts w:ascii="Georgia" w:hAnsi="Georgia" w:cs="Tahoma"/>
          <w:sz w:val="20"/>
          <w:szCs w:val="20"/>
          <w:lang w:val="sr-Latn-BA" w:eastAsia="sr-Cyrl-CS"/>
        </w:rPr>
      </w:pPr>
    </w:p>
    <w:p w14:paraId="18AD9990"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Prethodno je potrebno posmatrati mikro lokaciju saobraćajne nezgode i režime kretanja vozila i pješaka u vremenu nastanka opasne situacije odnosno saobraćajne nezgode.</w:t>
      </w:r>
    </w:p>
    <w:p w14:paraId="56E8E34E" w14:textId="77777777" w:rsidR="007116F8" w:rsidRPr="00530C4A" w:rsidRDefault="007116F8" w:rsidP="007116F8">
      <w:pPr>
        <w:pStyle w:val="Paragrafspiska"/>
        <w:numPr>
          <w:ilvl w:val="0"/>
          <w:numId w:val="22"/>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pravac kretanja vozila,</w:t>
      </w:r>
    </w:p>
    <w:p w14:paraId="3F6517CE" w14:textId="77777777" w:rsidR="007116F8" w:rsidRPr="00530C4A" w:rsidRDefault="007116F8" w:rsidP="007116F8">
      <w:pPr>
        <w:pStyle w:val="Paragrafspiska"/>
        <w:numPr>
          <w:ilvl w:val="0"/>
          <w:numId w:val="22"/>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pravac kretanja pješaka,</w:t>
      </w:r>
    </w:p>
    <w:p w14:paraId="244F05F7" w14:textId="77777777" w:rsidR="007116F8" w:rsidRPr="00530C4A" w:rsidRDefault="007116F8" w:rsidP="007116F8">
      <w:pPr>
        <w:pStyle w:val="Paragrafspiska"/>
        <w:numPr>
          <w:ilvl w:val="0"/>
          <w:numId w:val="22"/>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režim kretanja vozila i pješaka,</w:t>
      </w:r>
    </w:p>
    <w:p w14:paraId="06A49D31" w14:textId="77777777" w:rsidR="007116F8" w:rsidRPr="00530C4A" w:rsidRDefault="007116F8" w:rsidP="007116F8">
      <w:pPr>
        <w:pStyle w:val="Paragrafspiska"/>
        <w:numPr>
          <w:ilvl w:val="0"/>
          <w:numId w:val="22"/>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brzine kretanja vozila i pješaka,</w:t>
      </w:r>
    </w:p>
    <w:p w14:paraId="742F06B6" w14:textId="77777777" w:rsidR="007116F8" w:rsidRPr="00530C4A" w:rsidRDefault="007116F8" w:rsidP="007116F8">
      <w:pPr>
        <w:pStyle w:val="Paragrafspiska"/>
        <w:numPr>
          <w:ilvl w:val="0"/>
          <w:numId w:val="22"/>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pozicije vozila i pješaka u vremensko-prostornoj analizi.</w:t>
      </w:r>
    </w:p>
    <w:p w14:paraId="4B2170DF" w14:textId="77777777" w:rsidR="007116F8" w:rsidRPr="00530C4A" w:rsidRDefault="007116F8" w:rsidP="007116F8">
      <w:pPr>
        <w:rPr>
          <w:rFonts w:ascii="Georgia" w:hAnsi="Georgia" w:cs="Tahoma"/>
          <w:sz w:val="20"/>
          <w:szCs w:val="20"/>
          <w:lang w:val="sr-Latn-BA" w:eastAsia="sr-Cyrl-CS"/>
        </w:rPr>
      </w:pPr>
    </w:p>
    <w:p w14:paraId="5CF4057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Da bi se kvalitetno uradila analiza saobraćajne nezgode, u postupku vještačenja, potrebno je imati u vidu kriterije definisane na osnovu  uzajamnog  povjerenja</w:t>
      </w:r>
      <w:r w:rsidRPr="00530C4A">
        <w:rPr>
          <w:rFonts w:ascii="Georgia" w:hAnsi="Georgia" w:cs="Tahoma"/>
          <w:sz w:val="20"/>
          <w:szCs w:val="20"/>
          <w:vertAlign w:val="superscript"/>
          <w:lang w:val="sr-Latn-BA" w:eastAsia="sr-Cyrl-CS"/>
        </w:rPr>
        <w:footnoteReference w:id="14"/>
      </w:r>
      <w:r w:rsidRPr="00530C4A">
        <w:rPr>
          <w:rFonts w:ascii="Georgia" w:hAnsi="Georgia" w:cs="Tahoma"/>
          <w:sz w:val="20"/>
          <w:szCs w:val="20"/>
          <w:lang w:val="sr-Latn-BA" w:eastAsia="sr-Cyrl-CS"/>
        </w:rPr>
        <w:t xml:space="preserve"> između vozača i pješaka, u skladu sa odredbama ZoOBS-a :</w:t>
      </w:r>
    </w:p>
    <w:p w14:paraId="7EDA91C3" w14:textId="77777777" w:rsidR="007116F8" w:rsidRPr="00530C4A" w:rsidRDefault="007116F8" w:rsidP="007116F8">
      <w:pPr>
        <w:pStyle w:val="Paragrafspiska"/>
        <w:numPr>
          <w:ilvl w:val="0"/>
          <w:numId w:val="23"/>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ako je saobraćaj na obilježenom pješačkom prelazu regulisan svjetlosnim saobraćajnim znakovima za pješake, pješak je dužan postupati prema tim znakovima,</w:t>
      </w:r>
    </w:p>
    <w:p w14:paraId="2216E0E0" w14:textId="77777777" w:rsidR="007116F8" w:rsidRPr="00530C4A" w:rsidRDefault="007116F8" w:rsidP="007116F8">
      <w:pPr>
        <w:pStyle w:val="Paragrafspiska"/>
        <w:numPr>
          <w:ilvl w:val="0"/>
          <w:numId w:val="23"/>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ako saobraćaj na obilježenom pješačkom prelazu nije regulisan svjetlosnim saobraćajnim znakovima, ali je saobraćaj vozila regulisan svjetlosnim saobraćajnim znakovima za vozila ili znakovima koje daju ovlaštena lica, pješaci mogu prelaziti kolovoz samo dok im je datim znakom dozvoljen prelaz kolovoza,</w:t>
      </w:r>
    </w:p>
    <w:p w14:paraId="62BDAEBD" w14:textId="77777777" w:rsidR="007116F8" w:rsidRPr="00530C4A" w:rsidRDefault="007116F8" w:rsidP="007116F8">
      <w:pPr>
        <w:pStyle w:val="Paragrafspiska"/>
        <w:numPr>
          <w:ilvl w:val="0"/>
          <w:numId w:val="23"/>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lastRenderedPageBreak/>
        <w:t>ako na obilježenom pješačkom prelazu saobraćaj nije regulisan svjetlosnim saobraćajnim znakovima, ni znakovima koje daje ovlašteno lice, prije stupanja na pješački prelaz pješak je dužan obratiti pažnju na udaljenost i brzinu vozila koja mu se približavaju.</w:t>
      </w:r>
    </w:p>
    <w:p w14:paraId="21E57FCC" w14:textId="77777777" w:rsidR="007116F8" w:rsidRPr="00530C4A" w:rsidRDefault="007116F8" w:rsidP="007116F8">
      <w:pPr>
        <w:pStyle w:val="Paragrafspiska"/>
        <w:numPr>
          <w:ilvl w:val="0"/>
          <w:numId w:val="23"/>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ako saobraćaj na obilježenom pješačkom prelazu nije regulisan svjetlosnim saobraćajnim znakovima, ili znakovima koje daje ovlašteno lice, vozač je dužan zaustaviti vozilo  ispred pješačkog prelaza, kako bi propustio pješake koji prelaze ili stupaju na pješački prelaz, ili nedvosmisleno pokazuju namjeru da pređu preko pješačkog prelaza.</w:t>
      </w:r>
    </w:p>
    <w:p w14:paraId="7C64879A" w14:textId="77777777" w:rsidR="007116F8" w:rsidRPr="00530C4A" w:rsidRDefault="007116F8" w:rsidP="007116F8">
      <w:pPr>
        <w:pStyle w:val="Paragrafspiska"/>
        <w:numPr>
          <w:ilvl w:val="0"/>
          <w:numId w:val="23"/>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prije stupanja na pješački prelaz pješak je dužan obratiti pažnju na udaljenost i brzinu vozila</w:t>
      </w:r>
      <w:r w:rsidRPr="00530C4A">
        <w:rPr>
          <w:rFonts w:ascii="Georgia" w:hAnsi="Georgia" w:cs="Tahoma"/>
          <w:sz w:val="20"/>
          <w:szCs w:val="20"/>
          <w:vertAlign w:val="superscript"/>
          <w:lang w:val="sr-Latn-BA" w:eastAsia="sr-Cyrl-CS"/>
        </w:rPr>
        <w:footnoteReference w:id="15"/>
      </w:r>
      <w:r w:rsidRPr="00530C4A">
        <w:rPr>
          <w:rFonts w:ascii="Georgia" w:eastAsia="Times New Roman" w:hAnsi="Georgia" w:cs="Tahoma"/>
          <w:sz w:val="20"/>
          <w:szCs w:val="20"/>
          <w:lang w:val="sr-Latn-BA" w:eastAsia="sr-Cyrl-CS"/>
        </w:rPr>
        <w:t xml:space="preserve"> koja mu se približavaju.</w:t>
      </w:r>
    </w:p>
    <w:p w14:paraId="37B31EA0" w14:textId="77777777" w:rsidR="007116F8" w:rsidRPr="00530C4A" w:rsidRDefault="007116F8" w:rsidP="007116F8">
      <w:pPr>
        <w:rPr>
          <w:rFonts w:ascii="Georgia" w:hAnsi="Georgia" w:cs="Tahoma"/>
          <w:sz w:val="20"/>
          <w:szCs w:val="20"/>
          <w:lang w:val="sr-Latn-BA" w:eastAsia="sr-Cyrl-CS"/>
        </w:rPr>
      </w:pPr>
    </w:p>
    <w:p w14:paraId="027D11C1" w14:textId="77777777" w:rsidR="007116F8" w:rsidRPr="00530C4A" w:rsidRDefault="007116F8" w:rsidP="007116F8">
      <w:pPr>
        <w:rPr>
          <w:rFonts w:ascii="Georgia" w:hAnsi="Georgia" w:cs="Tahoma"/>
          <w:sz w:val="20"/>
          <w:szCs w:val="20"/>
          <w:lang w:val="sr-Latn-BA" w:eastAsia="sr-Cyrl-CS"/>
        </w:rPr>
      </w:pPr>
    </w:p>
    <w:p w14:paraId="6DAAA761"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Kod propisnog kretanja pješaka (1-5), isključen je njegov doprinos nastanku saobraćajne nezgode,  posebno imajući u vidu činjenicu da je vozilo ''opasna stvar'' u rukama vozača. </w:t>
      </w:r>
    </w:p>
    <w:p w14:paraId="3A3E5613"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Kod nepropisnih ponašanja pješaka u navedenim okolnostima (1-5), koja su u osnovi uzrokovala nastanak saobraćajne nezgode, doprinos vozača nastaloj posljedici je mjerljiv u visini razlike između posjedovane, odnosno sudarne brzine i  bezbjedne odnosno dopuštene brzine vozila u konkretnoj saobraćajnoj situaciji.</w:t>
      </w:r>
    </w:p>
    <w:p w14:paraId="131EB98F" w14:textId="77777777" w:rsidR="007116F8" w:rsidRPr="00530C4A" w:rsidRDefault="007116F8" w:rsidP="007116F8">
      <w:pPr>
        <w:rPr>
          <w:rFonts w:ascii="Georgia" w:hAnsi="Georgia" w:cs="Tahoma"/>
          <w:sz w:val="20"/>
          <w:szCs w:val="20"/>
          <w:lang w:val="sr-Latn-BA" w:eastAsia="sr-Cyrl-CS"/>
        </w:rPr>
      </w:pPr>
    </w:p>
    <w:p w14:paraId="45655248"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Posljedica saobraćajne nezgode je direktno proporcionalna proizvodu mase i kvadrata sudarne brzine vozila, odnosno količini kinetičke energije u sudaru sa pješakom:</w:t>
      </w:r>
    </w:p>
    <w:p w14:paraId="5B1269CC" w14:textId="77777777" w:rsidR="007116F8" w:rsidRPr="00530C4A" w:rsidRDefault="007116F8" w:rsidP="007116F8">
      <w:pPr>
        <w:rPr>
          <w:rFonts w:ascii="Georgia" w:hAnsi="Georgia" w:cs="Tahoma"/>
          <w:sz w:val="20"/>
          <w:szCs w:val="20"/>
          <w:lang w:val="sr-Latn-BA" w:eastAsia="sr-Cyrl-CS"/>
        </w:rPr>
      </w:pPr>
    </w:p>
    <w:p w14:paraId="6C71A88C" w14:textId="77777777" w:rsidR="007116F8" w:rsidRPr="00530C4A" w:rsidRDefault="00AF6969" w:rsidP="007116F8">
      <w:pPr>
        <w:rPr>
          <w:rFonts w:ascii="Georgia" w:hAnsi="Georgia" w:cs="Tahoma"/>
          <w:sz w:val="20"/>
          <w:szCs w:val="20"/>
          <w:lang w:val="sr-Latn-BA" w:eastAsia="sr-Cyrl-CS"/>
        </w:rPr>
      </w:pPr>
      <m:oMathPara>
        <m:oMath>
          <m:sSub>
            <m:sSubPr>
              <m:ctrlPr>
                <w:rPr>
                  <w:rFonts w:ascii="Cambria Math" w:hAnsi="Cambria Math" w:cs="Tahoma"/>
                  <w:i/>
                  <w:sz w:val="20"/>
                  <w:szCs w:val="20"/>
                  <w:lang w:val="sr-Latn-BA"/>
                </w:rPr>
              </m:ctrlPr>
            </m:sSubPr>
            <m:e>
              <m:r>
                <w:rPr>
                  <w:rFonts w:ascii="Cambria Math" w:hAnsi="Cambria Math" w:cs="Tahoma"/>
                  <w:sz w:val="20"/>
                  <w:szCs w:val="20"/>
                  <w:lang w:val="sr-Latn-BA"/>
                </w:rPr>
                <m:t>Е</m:t>
              </m:r>
            </m:e>
            <m:sub>
              <m:r>
                <w:rPr>
                  <w:rFonts w:ascii="Cambria Math" w:hAnsi="Cambria Math" w:cs="Tahoma"/>
                  <w:sz w:val="20"/>
                  <w:szCs w:val="20"/>
                  <w:lang w:val="sr-Latn-BA"/>
                </w:rPr>
                <m:t>К</m:t>
              </m:r>
            </m:sub>
          </m:sSub>
          <m:r>
            <w:rPr>
              <w:rFonts w:ascii="Cambria Math" w:hAnsi="Cambria Math" w:cs="Tahoma"/>
              <w:sz w:val="20"/>
              <w:szCs w:val="20"/>
              <w:lang w:val="sr-Latn-BA"/>
            </w:rPr>
            <m:t>=</m:t>
          </m:r>
          <m:f>
            <m:fPr>
              <m:ctrlPr>
                <w:rPr>
                  <w:rFonts w:ascii="Cambria Math" w:hAnsi="Cambria Math" w:cs="Tahoma"/>
                  <w:i/>
                  <w:sz w:val="20"/>
                  <w:szCs w:val="20"/>
                  <w:lang w:val="sr-Latn-BA"/>
                </w:rPr>
              </m:ctrlPr>
            </m:fPr>
            <m:num>
              <m:r>
                <w:rPr>
                  <w:rFonts w:ascii="Cambria Math" w:hAnsi="Cambria Math" w:cs="Tahoma"/>
                  <w:sz w:val="20"/>
                  <w:szCs w:val="20"/>
                  <w:lang w:val="sr-Latn-BA"/>
                </w:rPr>
                <m:t>m</m:t>
              </m:r>
              <m:sSubSup>
                <m:sSubSupPr>
                  <m:ctrlPr>
                    <w:rPr>
                      <w:rFonts w:ascii="Cambria Math" w:hAnsi="Cambria Math" w:cs="Tahoma"/>
                      <w:i/>
                      <w:sz w:val="20"/>
                      <w:szCs w:val="20"/>
                      <w:lang w:val="sr-Latn-BA"/>
                    </w:rPr>
                  </m:ctrlPr>
                </m:sSubSupPr>
                <m:e>
                  <m:r>
                    <w:rPr>
                      <w:rFonts w:ascii="Cambria Math" w:hAnsi="Cambria Math" w:cs="Tahoma"/>
                      <w:sz w:val="20"/>
                      <w:szCs w:val="20"/>
                      <w:lang w:val="sr-Latn-BA"/>
                    </w:rPr>
                    <m:t>V</m:t>
                  </m:r>
                </m:e>
                <m:sub>
                  <m:r>
                    <w:rPr>
                      <w:rFonts w:ascii="Cambria Math" w:hAnsi="Cambria Math" w:cs="Tahoma"/>
                      <w:sz w:val="20"/>
                      <w:szCs w:val="20"/>
                      <w:lang w:val="sr-Latn-BA"/>
                    </w:rPr>
                    <m:t>S</m:t>
                  </m:r>
                </m:sub>
                <m:sup>
                  <m:r>
                    <w:rPr>
                      <w:rFonts w:ascii="Cambria Math" w:hAnsi="Cambria Math" w:cs="Tahoma"/>
                      <w:sz w:val="20"/>
                      <w:szCs w:val="20"/>
                      <w:lang w:val="sr-Latn-BA"/>
                    </w:rPr>
                    <m:t>2</m:t>
                  </m:r>
                </m:sup>
              </m:sSubSup>
            </m:num>
            <m:den>
              <m:r>
                <w:rPr>
                  <w:rFonts w:ascii="Cambria Math" w:hAnsi="Cambria Math" w:cs="Tahoma"/>
                  <w:sz w:val="20"/>
                  <w:szCs w:val="20"/>
                  <w:lang w:val="sr-Latn-BA"/>
                </w:rPr>
                <m:t>2</m:t>
              </m:r>
            </m:den>
          </m:f>
        </m:oMath>
      </m:oMathPara>
    </w:p>
    <w:p w14:paraId="5F5C0336" w14:textId="77777777" w:rsidR="007116F8" w:rsidRPr="00530C4A" w:rsidRDefault="007116F8" w:rsidP="007116F8">
      <w:pPr>
        <w:rPr>
          <w:rFonts w:ascii="Georgia" w:hAnsi="Georgia" w:cs="Tahoma"/>
          <w:sz w:val="20"/>
          <w:szCs w:val="20"/>
          <w:lang w:val="sr-Latn-BA" w:eastAsia="sr-Cyrl-CS"/>
        </w:rPr>
      </w:pPr>
    </w:p>
    <w:p w14:paraId="67F40E4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Odnos sudarne brzine vozila i vjerovatnoće smrtnog stradanja pješaka prikazan je u tabeli 1.</w:t>
      </w:r>
    </w:p>
    <w:p w14:paraId="18D57817" w14:textId="77777777" w:rsidR="007116F8" w:rsidRPr="00530C4A" w:rsidRDefault="007116F8" w:rsidP="007116F8">
      <w:pPr>
        <w:rPr>
          <w:rFonts w:ascii="Georgia" w:hAnsi="Georgia" w:cs="Tahoma"/>
          <w:sz w:val="20"/>
          <w:szCs w:val="20"/>
          <w:lang w:val="sr-Latn-BA" w:eastAsia="sr-Cyrl-CS"/>
        </w:rPr>
      </w:pPr>
    </w:p>
    <w:p w14:paraId="506CD535"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Tabela 1. Zavisnost smrtnog stradanja pješaka i brzine</w:t>
      </w:r>
    </w:p>
    <w:p w14:paraId="7A3C3DB3" w14:textId="77777777" w:rsidR="007116F8" w:rsidRPr="00530C4A" w:rsidRDefault="007116F8" w:rsidP="007116F8">
      <w:pPr>
        <w:rPr>
          <w:rFonts w:ascii="Georgia" w:hAnsi="Georgia" w:cs="Tahoma"/>
          <w:sz w:val="20"/>
          <w:szCs w:val="20"/>
          <w:lang w:val="sr-Latn-BA" w:eastAsia="sr-Cyrl-CS"/>
        </w:rPr>
      </w:pPr>
    </w:p>
    <w:tbl>
      <w:tblPr>
        <w:tblStyle w:val="TableGrid1"/>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60"/>
        <w:gridCol w:w="2250"/>
      </w:tblGrid>
      <w:tr w:rsidR="007116F8" w:rsidRPr="00530C4A" w14:paraId="2F348C55" w14:textId="77777777" w:rsidTr="00567A90">
        <w:trPr>
          <w:jc w:val="center"/>
        </w:trPr>
        <w:tc>
          <w:tcPr>
            <w:tcW w:w="2160" w:type="dxa"/>
          </w:tcPr>
          <w:p w14:paraId="7417E7FF"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Sudarna brzina</w:t>
            </w:r>
          </w:p>
          <w:p w14:paraId="542C1819"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km/h</w:t>
            </w:r>
          </w:p>
        </w:tc>
        <w:tc>
          <w:tcPr>
            <w:tcW w:w="2250" w:type="dxa"/>
          </w:tcPr>
          <w:p w14:paraId="3AA557AA"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Smrtnost pješaka</w:t>
            </w:r>
          </w:p>
          <w:p w14:paraId="7420F3C4"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w:t>
            </w:r>
          </w:p>
        </w:tc>
      </w:tr>
      <w:tr w:rsidR="007116F8" w:rsidRPr="00530C4A" w14:paraId="5E771EF5" w14:textId="77777777" w:rsidTr="00567A90">
        <w:trPr>
          <w:jc w:val="center"/>
        </w:trPr>
        <w:tc>
          <w:tcPr>
            <w:tcW w:w="2160" w:type="dxa"/>
          </w:tcPr>
          <w:p w14:paraId="0DF86289"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30</w:t>
            </w:r>
          </w:p>
        </w:tc>
        <w:tc>
          <w:tcPr>
            <w:tcW w:w="2250" w:type="dxa"/>
          </w:tcPr>
          <w:p w14:paraId="0CE8EA74"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10</w:t>
            </w:r>
          </w:p>
        </w:tc>
      </w:tr>
      <w:tr w:rsidR="007116F8" w:rsidRPr="00530C4A" w14:paraId="5B64D58E" w14:textId="77777777" w:rsidTr="00567A90">
        <w:trPr>
          <w:jc w:val="center"/>
        </w:trPr>
        <w:tc>
          <w:tcPr>
            <w:tcW w:w="2160" w:type="dxa"/>
          </w:tcPr>
          <w:p w14:paraId="1AEB8D66"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40</w:t>
            </w:r>
          </w:p>
        </w:tc>
        <w:tc>
          <w:tcPr>
            <w:tcW w:w="2250" w:type="dxa"/>
          </w:tcPr>
          <w:p w14:paraId="599C4736"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20</w:t>
            </w:r>
          </w:p>
        </w:tc>
      </w:tr>
      <w:tr w:rsidR="007116F8" w:rsidRPr="00530C4A" w14:paraId="73AC45CF" w14:textId="77777777" w:rsidTr="00567A90">
        <w:trPr>
          <w:jc w:val="center"/>
        </w:trPr>
        <w:tc>
          <w:tcPr>
            <w:tcW w:w="2160" w:type="dxa"/>
          </w:tcPr>
          <w:p w14:paraId="46619ADA"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50</w:t>
            </w:r>
          </w:p>
        </w:tc>
        <w:tc>
          <w:tcPr>
            <w:tcW w:w="2250" w:type="dxa"/>
          </w:tcPr>
          <w:p w14:paraId="297E771C"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40</w:t>
            </w:r>
          </w:p>
        </w:tc>
      </w:tr>
      <w:tr w:rsidR="007116F8" w:rsidRPr="00530C4A" w14:paraId="26BEB328" w14:textId="77777777" w:rsidTr="00567A90">
        <w:trPr>
          <w:jc w:val="center"/>
        </w:trPr>
        <w:tc>
          <w:tcPr>
            <w:tcW w:w="2160" w:type="dxa"/>
          </w:tcPr>
          <w:p w14:paraId="32FF11D5"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60</w:t>
            </w:r>
          </w:p>
        </w:tc>
        <w:tc>
          <w:tcPr>
            <w:tcW w:w="2250" w:type="dxa"/>
          </w:tcPr>
          <w:p w14:paraId="7E5BE720"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80</w:t>
            </w:r>
          </w:p>
        </w:tc>
      </w:tr>
      <w:tr w:rsidR="007116F8" w:rsidRPr="00530C4A" w14:paraId="7269E7BC" w14:textId="77777777" w:rsidTr="00567A90">
        <w:trPr>
          <w:jc w:val="center"/>
        </w:trPr>
        <w:tc>
          <w:tcPr>
            <w:tcW w:w="2160" w:type="dxa"/>
          </w:tcPr>
          <w:p w14:paraId="7CEBDB2C"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80</w:t>
            </w:r>
          </w:p>
        </w:tc>
        <w:tc>
          <w:tcPr>
            <w:tcW w:w="2250" w:type="dxa"/>
          </w:tcPr>
          <w:p w14:paraId="7F44186C" w14:textId="77777777" w:rsidR="007116F8" w:rsidRPr="00530C4A" w:rsidRDefault="007116F8" w:rsidP="00567A90">
            <w:pPr>
              <w:ind w:firstLine="0"/>
              <w:rPr>
                <w:rFonts w:ascii="Georgia" w:hAnsi="Georgia" w:cs="Tahoma"/>
                <w:sz w:val="20"/>
                <w:szCs w:val="20"/>
                <w:lang w:val="sr-Latn-BA" w:eastAsia="sr-Cyrl-CS"/>
              </w:rPr>
            </w:pPr>
            <w:r w:rsidRPr="00530C4A">
              <w:rPr>
                <w:rFonts w:ascii="Georgia" w:hAnsi="Georgia" w:cs="Tahoma"/>
                <w:sz w:val="20"/>
                <w:szCs w:val="20"/>
                <w:lang w:val="sr-Latn-BA" w:eastAsia="sr-Cyrl-CS"/>
              </w:rPr>
              <w:t>100</w:t>
            </w:r>
          </w:p>
        </w:tc>
      </w:tr>
    </w:tbl>
    <w:p w14:paraId="63EC04EA" w14:textId="77777777" w:rsidR="007116F8" w:rsidRPr="00530C4A" w:rsidRDefault="007116F8" w:rsidP="007116F8">
      <w:pPr>
        <w:rPr>
          <w:rFonts w:ascii="Georgia" w:hAnsi="Georgia" w:cs="Tahoma"/>
          <w:sz w:val="20"/>
          <w:szCs w:val="20"/>
          <w:lang w:val="sr-Latn-BA" w:eastAsia="sr-Cyrl-CS"/>
        </w:rPr>
      </w:pPr>
    </w:p>
    <w:p w14:paraId="70857B51"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lastRenderedPageBreak/>
        <w:t>U prezentovanom slučaju, posljedice po pješaka su u direktnoj ovisnosti od:</w:t>
      </w:r>
    </w:p>
    <w:p w14:paraId="4BD8CB5C" w14:textId="77777777" w:rsidR="007116F8" w:rsidRPr="00530C4A" w:rsidRDefault="007116F8" w:rsidP="007116F8">
      <w:pPr>
        <w:pStyle w:val="Paragrafspiska"/>
        <w:numPr>
          <w:ilvl w:val="0"/>
          <w:numId w:val="24"/>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karakteristike sudara,</w:t>
      </w:r>
    </w:p>
    <w:p w14:paraId="56FE68DA" w14:textId="77777777" w:rsidR="007116F8" w:rsidRPr="00530C4A" w:rsidRDefault="007116F8" w:rsidP="007116F8">
      <w:pPr>
        <w:pStyle w:val="Paragrafspiska"/>
        <w:numPr>
          <w:ilvl w:val="0"/>
          <w:numId w:val="24"/>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oblika i konstruktivne izvedbe vozila;</w:t>
      </w:r>
    </w:p>
    <w:p w14:paraId="79096AA1" w14:textId="77777777" w:rsidR="007116F8" w:rsidRPr="00530C4A" w:rsidRDefault="007116F8" w:rsidP="007116F8">
      <w:pPr>
        <w:rPr>
          <w:rFonts w:ascii="Georgia" w:hAnsi="Georgia" w:cs="Tahoma"/>
          <w:sz w:val="20"/>
          <w:szCs w:val="20"/>
          <w:lang w:val="sr-Latn-BA" w:eastAsia="sr-Cyrl-CS"/>
        </w:rPr>
      </w:pPr>
    </w:p>
    <w:p w14:paraId="794C90DB"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U slučajevima saobraćajnih nezgoda sa pješakom van pješačkog prelaza, različiti su pristupi u vještačenju, a samim tim i sudske presude su različite. U navedenim slučajevima ne postoji usaglašen stav,  prije svega saobraćajne struke. Različita je i praksa u postupanju nadležnih sudova.</w:t>
      </w:r>
    </w:p>
    <w:p w14:paraId="78B864D0"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Shodno navedenom, potrebno je apostrofirati sljedeće zakonske norme</w:t>
      </w:r>
      <w:r w:rsidRPr="00530C4A">
        <w:rPr>
          <w:rFonts w:ascii="Georgia" w:hAnsi="Georgia" w:cs="Tahoma"/>
          <w:sz w:val="20"/>
          <w:szCs w:val="20"/>
          <w:vertAlign w:val="superscript"/>
          <w:lang w:val="sr-Latn-BA" w:eastAsia="sr-Cyrl-CS"/>
        </w:rPr>
        <w:footnoteReference w:id="16"/>
      </w:r>
      <w:r w:rsidRPr="00530C4A">
        <w:rPr>
          <w:rFonts w:ascii="Georgia" w:hAnsi="Georgia" w:cs="Tahoma"/>
          <w:sz w:val="20"/>
          <w:szCs w:val="20"/>
          <w:lang w:val="sr-Latn-BA" w:eastAsia="sr-Cyrl-CS"/>
        </w:rPr>
        <w:t xml:space="preserve"> ZoOBS-a:</w:t>
      </w:r>
    </w:p>
    <w:p w14:paraId="0C04D87A"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Član 9. Stav 1. </w:t>
      </w:r>
    </w:p>
    <w:p w14:paraId="30F182B5" w14:textId="77777777" w:rsidR="007116F8" w:rsidRPr="00530C4A" w:rsidRDefault="007116F8" w:rsidP="007116F8">
      <w:pPr>
        <w:widowControl/>
        <w:numPr>
          <w:ilvl w:val="0"/>
          <w:numId w:val="25"/>
        </w:numPr>
        <w:spacing w:after="0"/>
        <w:rPr>
          <w:rFonts w:ascii="Georgia" w:hAnsi="Georgia" w:cs="Tahoma"/>
          <w:sz w:val="20"/>
          <w:szCs w:val="20"/>
          <w:lang w:val="sr-Latn-BA" w:eastAsia="sr-Cyrl-CS"/>
        </w:rPr>
      </w:pPr>
      <w:r w:rsidRPr="00530C4A">
        <w:rPr>
          <w:rFonts w:ascii="Georgia" w:hAnsi="Georgia" w:cs="Tahoma"/>
          <w:sz w:val="20"/>
          <w:szCs w:val="20"/>
          <w:lang w:val="sr-Latn-BA" w:eastAsia="sr-Cyrl-CS"/>
        </w:rPr>
        <w:t>tačka 15) kolovoz je dio površine puta namijenjen prvenstveno za saobraćaj vozila,</w:t>
      </w:r>
    </w:p>
    <w:p w14:paraId="3C30310C" w14:textId="77777777" w:rsidR="007116F8" w:rsidRPr="00530C4A" w:rsidRDefault="007116F8" w:rsidP="007116F8">
      <w:pPr>
        <w:widowControl/>
        <w:numPr>
          <w:ilvl w:val="0"/>
          <w:numId w:val="25"/>
        </w:numPr>
        <w:spacing w:after="0"/>
        <w:rPr>
          <w:rFonts w:ascii="Georgia" w:hAnsi="Georgia" w:cs="Tahoma"/>
          <w:sz w:val="20"/>
          <w:szCs w:val="20"/>
          <w:lang w:val="sr-Latn-BA" w:eastAsia="sr-Cyrl-CS"/>
        </w:rPr>
      </w:pPr>
      <w:r w:rsidRPr="00530C4A">
        <w:rPr>
          <w:rFonts w:ascii="Georgia" w:hAnsi="Georgia" w:cs="Tahoma"/>
          <w:sz w:val="20"/>
          <w:szCs w:val="20"/>
          <w:lang w:val="sr-Latn-BA" w:eastAsia="sr-Cyrl-CS"/>
        </w:rPr>
        <w:t>tačka 74) trotoar je posebno uređena saobraćajna površina namijenjena za kretanje pješaka, koja nije u istom nivou s kolovozom puta, ili je od kolovoza odvojena na drugi način,</w:t>
      </w:r>
    </w:p>
    <w:p w14:paraId="1FD6644A"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Komentar: Svi ostali (uključujući i pješake) imaju se ponašati na zakonom propisan način. Zakonodavac razdvaja površine namijenjene za kretanje vozila i pješaka.</w:t>
      </w:r>
    </w:p>
    <w:p w14:paraId="43DAB135" w14:textId="77777777" w:rsidR="007116F8" w:rsidRPr="00530C4A" w:rsidRDefault="007116F8" w:rsidP="007116F8">
      <w:pPr>
        <w:rPr>
          <w:rFonts w:ascii="Georgia" w:hAnsi="Georgia" w:cs="Tahoma"/>
          <w:sz w:val="20"/>
          <w:szCs w:val="20"/>
          <w:lang w:val="sr-Latn-BA" w:eastAsia="sr-Cyrl-CS"/>
        </w:rPr>
      </w:pPr>
    </w:p>
    <w:p w14:paraId="619256A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Član 28.   </w:t>
      </w:r>
    </w:p>
    <w:p w14:paraId="4613FB65" w14:textId="77777777" w:rsidR="007116F8" w:rsidRPr="00530C4A" w:rsidRDefault="007116F8" w:rsidP="007116F8">
      <w:pPr>
        <w:pStyle w:val="Paragrafspiska"/>
        <w:numPr>
          <w:ilvl w:val="0"/>
          <w:numId w:val="26"/>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vozač je dužan u toku upravljanja vozilom obratiti pažnju na pješake koji se nalaze na   kolovozu ili stupaju na kolovoz.</w:t>
      </w:r>
    </w:p>
    <w:p w14:paraId="07A035A6" w14:textId="77777777" w:rsidR="007116F8" w:rsidRPr="00530C4A" w:rsidRDefault="007116F8" w:rsidP="007116F8">
      <w:pPr>
        <w:pStyle w:val="Paragrafspiska"/>
        <w:numPr>
          <w:ilvl w:val="0"/>
          <w:numId w:val="26"/>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kad prilazi obilježenom pješačkom prelazu, vozač mora upravljati vozilom s naročitim oprezom i voziti takvom brzinom da u slučaju potrebe može zaustaviti vozilo ispred pješačkog prijelaza.</w:t>
      </w:r>
    </w:p>
    <w:p w14:paraId="2836E09F" w14:textId="77777777" w:rsidR="007116F8" w:rsidRPr="00530C4A" w:rsidRDefault="007116F8" w:rsidP="007116F8">
      <w:pPr>
        <w:pStyle w:val="Paragrafspiska"/>
        <w:numPr>
          <w:ilvl w:val="0"/>
          <w:numId w:val="26"/>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na dijelu puta po kojem se kreću djeca, ili na kojem su postavljeni saobraćajni znaci o učešću djece u saobraćaju, vozač je dužan voziti s naročitim oprezom i takvom brzinom da može vozilo zaustaviti u slučaju potrebe.</w:t>
      </w:r>
    </w:p>
    <w:p w14:paraId="5C53F9E5" w14:textId="77777777" w:rsidR="007116F8" w:rsidRPr="00530C4A" w:rsidRDefault="007116F8" w:rsidP="007116F8">
      <w:pPr>
        <w:ind w:left="360"/>
        <w:rPr>
          <w:rFonts w:ascii="Georgia" w:hAnsi="Georgia" w:cs="Tahoma"/>
          <w:sz w:val="20"/>
          <w:szCs w:val="20"/>
          <w:lang w:val="sr-Latn-BA" w:eastAsia="sr-Cyrl-CS"/>
        </w:rPr>
      </w:pPr>
    </w:p>
    <w:p w14:paraId="1CA6A0A2"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Komentar: Ovim članom zakonodavac ograničava načelo povjerenja prema pješacima koji se kreću po kolovozu, u neposrednoj blizini pješačkog prelaza i prema djeci kao posebnoj kategoriji učesnika.</w:t>
      </w:r>
    </w:p>
    <w:p w14:paraId="1CC16F62" w14:textId="77777777" w:rsidR="007116F8" w:rsidRPr="00530C4A" w:rsidRDefault="007116F8" w:rsidP="007116F8">
      <w:pPr>
        <w:rPr>
          <w:rFonts w:ascii="Georgia" w:hAnsi="Georgia" w:cs="Tahoma"/>
          <w:sz w:val="20"/>
          <w:szCs w:val="20"/>
          <w:lang w:val="sr-Latn-BA" w:eastAsia="sr-Cyrl-CS"/>
        </w:rPr>
      </w:pPr>
    </w:p>
    <w:p w14:paraId="58F96A47"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Član 105.</w:t>
      </w:r>
    </w:p>
    <w:p w14:paraId="736F1D60" w14:textId="77777777" w:rsidR="007116F8" w:rsidRPr="00530C4A" w:rsidRDefault="007116F8" w:rsidP="007116F8">
      <w:pPr>
        <w:pStyle w:val="Paragrafspiska"/>
        <w:numPr>
          <w:ilvl w:val="0"/>
          <w:numId w:val="27"/>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Pješak se ne smije po pravilu kretati i zadržavati na kolovozu.</w:t>
      </w:r>
    </w:p>
    <w:p w14:paraId="08C6E82F" w14:textId="77777777" w:rsidR="007116F8" w:rsidRPr="00530C4A" w:rsidRDefault="007116F8" w:rsidP="007116F8">
      <w:pPr>
        <w:pStyle w:val="Paragrafspiska"/>
        <w:numPr>
          <w:ilvl w:val="0"/>
          <w:numId w:val="27"/>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Ako se pješak kreće po kolovozu, on se mora kretati što bliže ivici kolovoza, i to veoma pažljivo i na način kojim ne ometa ili sprečava saobraćaj vozila.</w:t>
      </w:r>
    </w:p>
    <w:p w14:paraId="51C613BD" w14:textId="77777777" w:rsidR="007116F8" w:rsidRPr="00530C4A" w:rsidRDefault="007116F8" w:rsidP="007116F8">
      <w:pPr>
        <w:rPr>
          <w:rFonts w:ascii="Georgia" w:hAnsi="Georgia" w:cs="Tahoma"/>
          <w:sz w:val="20"/>
          <w:szCs w:val="20"/>
          <w:lang w:val="sr-Latn-BA" w:eastAsia="sr-Cyrl-CS"/>
        </w:rPr>
      </w:pPr>
    </w:p>
    <w:p w14:paraId="36F00A22"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Komentar: Zakonodavac ovom odredbom izričito obavezuje pješake da posvete posebnu pažnju u slučajevima kad se kreću površinom namijenjenom za kretanje vozila.</w:t>
      </w:r>
    </w:p>
    <w:p w14:paraId="6AD7A80A"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Član 108.</w:t>
      </w:r>
    </w:p>
    <w:p w14:paraId="6E5673C0" w14:textId="77777777" w:rsidR="007116F8" w:rsidRPr="00530C4A" w:rsidRDefault="007116F8" w:rsidP="007116F8">
      <w:pPr>
        <w:pStyle w:val="Paragrafspiska"/>
        <w:numPr>
          <w:ilvl w:val="0"/>
          <w:numId w:val="28"/>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Pješak je dužan prelaziti preko kolovoza i biciklističke staze pažljivo i najkraćim putem pošto se prije stupanja na kolovoz uvjeri da to može učiniti na siguran način.</w:t>
      </w:r>
    </w:p>
    <w:p w14:paraId="05A39127" w14:textId="77777777" w:rsidR="007116F8" w:rsidRPr="00530C4A" w:rsidRDefault="007116F8" w:rsidP="007116F8">
      <w:pPr>
        <w:pStyle w:val="Paragrafspiska"/>
        <w:numPr>
          <w:ilvl w:val="0"/>
          <w:numId w:val="28"/>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Za vrijeme kretanja kolovozom pješak ne smije da koristi mobilni telefon niti da ima slušalice u oba uha.</w:t>
      </w:r>
    </w:p>
    <w:p w14:paraId="6F043725" w14:textId="77777777" w:rsidR="007116F8" w:rsidRPr="00530C4A" w:rsidRDefault="007116F8" w:rsidP="007116F8">
      <w:pPr>
        <w:pStyle w:val="Paragrafspiska"/>
        <w:numPr>
          <w:ilvl w:val="0"/>
          <w:numId w:val="28"/>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Na putu koji ima obilježene pješačke prelaze ili posebno izgrađene prelaze, odnosno prolaze za pješake, pri prelaženju puta pješak je dužan kretati se tim prelazima odnosno prolazima, ako oni nisu od njega udaljeni više od 100 metara.</w:t>
      </w:r>
    </w:p>
    <w:p w14:paraId="0FC46634" w14:textId="77777777" w:rsidR="007116F8" w:rsidRPr="00530C4A" w:rsidRDefault="007116F8" w:rsidP="007116F8">
      <w:pPr>
        <w:rPr>
          <w:rFonts w:ascii="Georgia" w:hAnsi="Georgia" w:cs="Tahoma"/>
          <w:sz w:val="20"/>
          <w:szCs w:val="20"/>
          <w:lang w:val="sr-Latn-BA" w:eastAsia="sr-Cyrl-CS"/>
        </w:rPr>
      </w:pPr>
    </w:p>
    <w:p w14:paraId="7C9191C2"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Član 110.</w:t>
      </w:r>
    </w:p>
    <w:p w14:paraId="7791BA81" w14:textId="77777777" w:rsidR="007116F8" w:rsidRPr="00530C4A" w:rsidRDefault="007116F8" w:rsidP="007116F8">
      <w:pPr>
        <w:pStyle w:val="Paragrafspiska"/>
        <w:numPr>
          <w:ilvl w:val="0"/>
          <w:numId w:val="29"/>
        </w:numPr>
        <w:rPr>
          <w:rFonts w:ascii="Georgia" w:eastAsia="Times New Roman" w:hAnsi="Georgia" w:cs="Tahoma"/>
          <w:sz w:val="20"/>
          <w:szCs w:val="20"/>
          <w:lang w:val="sr-Latn-BA" w:eastAsia="sr-Cyrl-CS"/>
        </w:rPr>
      </w:pPr>
      <w:r w:rsidRPr="00530C4A">
        <w:rPr>
          <w:rFonts w:ascii="Georgia" w:eastAsia="Times New Roman" w:hAnsi="Georgia" w:cs="Tahoma"/>
          <w:sz w:val="20"/>
          <w:szCs w:val="20"/>
          <w:lang w:val="sr-Latn-BA" w:eastAsia="sr-Cyrl-CS"/>
        </w:rPr>
        <w:t>Pješak koji namjerava preći kolovoz na mjestu na kojem ne postoji obilježeni pješački prelaz ne smije stupiti na kolovoz ako time ometa saobraćaj vozila.</w:t>
      </w:r>
    </w:p>
    <w:p w14:paraId="2CACF0F5" w14:textId="77777777" w:rsidR="007116F8" w:rsidRPr="00530C4A" w:rsidRDefault="007116F8" w:rsidP="007116F8">
      <w:pPr>
        <w:pStyle w:val="Paragrafspiska"/>
        <w:ind w:firstLine="0"/>
        <w:rPr>
          <w:rFonts w:ascii="Georgia" w:eastAsia="Times New Roman" w:hAnsi="Georgia" w:cs="Tahoma"/>
          <w:sz w:val="20"/>
          <w:szCs w:val="20"/>
          <w:lang w:val="sr-Latn-BA" w:eastAsia="sr-Cyrl-CS"/>
        </w:rPr>
      </w:pPr>
    </w:p>
    <w:p w14:paraId="272DFFA9" w14:textId="3D7CA6CC" w:rsidR="007116F8" w:rsidRPr="00530C4A" w:rsidRDefault="007116F8" w:rsidP="00D36F74">
      <w:pPr>
        <w:rPr>
          <w:rFonts w:ascii="Georgia" w:hAnsi="Georgia" w:cs="Tahoma"/>
          <w:sz w:val="20"/>
          <w:szCs w:val="20"/>
          <w:lang w:val="sr-Latn-BA" w:eastAsia="sr-Cyrl-CS"/>
        </w:rPr>
      </w:pPr>
      <w:r w:rsidRPr="00530C4A">
        <w:rPr>
          <w:rFonts w:ascii="Georgia" w:hAnsi="Georgia" w:cs="Tahoma"/>
          <w:sz w:val="20"/>
          <w:szCs w:val="20"/>
          <w:lang w:val="sr-Latn-BA" w:eastAsia="sr-Cyrl-CS"/>
        </w:rPr>
        <w:t>Komentar: Imajući u vidu navedene odredbe</w:t>
      </w:r>
      <w:r w:rsidRPr="00530C4A">
        <w:rPr>
          <w:rFonts w:ascii="Georgia" w:hAnsi="Georgia" w:cs="Tahoma"/>
          <w:sz w:val="20"/>
          <w:szCs w:val="20"/>
          <w:vertAlign w:val="superscript"/>
          <w:lang w:val="sr-Latn-BA" w:eastAsia="sr-Cyrl-CS"/>
        </w:rPr>
        <w:footnoteReference w:id="17"/>
      </w:r>
      <w:r w:rsidRPr="00530C4A">
        <w:rPr>
          <w:rFonts w:ascii="Georgia" w:hAnsi="Georgia" w:cs="Tahoma"/>
          <w:sz w:val="20"/>
          <w:szCs w:val="20"/>
          <w:lang w:val="sr-Latn-BA" w:eastAsia="sr-Cyrl-CS"/>
        </w:rPr>
        <w:t xml:space="preserve"> članova 105, 108 i 110 i definiciju iz član 9. stav 1. tačka 15. može se zaključiti da se vozač odnosno vozilo van pješačkog prelaza nalazi na putu sa prioritetom kretanja</w:t>
      </w:r>
      <w:r w:rsidRPr="00530C4A">
        <w:rPr>
          <w:rFonts w:ascii="Georgia" w:hAnsi="Georgia" w:cs="Tahoma"/>
          <w:sz w:val="20"/>
          <w:szCs w:val="20"/>
          <w:vertAlign w:val="superscript"/>
          <w:lang w:val="sr-Latn-BA" w:eastAsia="sr-Cyrl-CS"/>
        </w:rPr>
        <w:footnoteReference w:id="18"/>
      </w:r>
      <w:r w:rsidRPr="00530C4A">
        <w:rPr>
          <w:rFonts w:ascii="Georgia" w:hAnsi="Georgia" w:cs="Tahoma"/>
          <w:sz w:val="20"/>
          <w:szCs w:val="20"/>
          <w:lang w:val="sr-Latn-BA" w:eastAsia="sr-Cyrl-CS"/>
        </w:rPr>
        <w:t xml:space="preserve"> u odnosu na pješaka.</w:t>
      </w:r>
    </w:p>
    <w:p w14:paraId="2AB5CB97"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Svaka promjena režima kretanja vozila (kočenje, ubrzavanje, promjena saobraćajne trake...) izazvana ponašanjem odnosno stupanjem pješaka na kolovoz, uslovljena je posljedicama propusta pješaka. </w:t>
      </w:r>
    </w:p>
    <w:p w14:paraId="6EC0EEE8" w14:textId="77777777" w:rsidR="007116F8" w:rsidRPr="00530C4A" w:rsidRDefault="007116F8" w:rsidP="007116F8">
      <w:pPr>
        <w:rPr>
          <w:rFonts w:ascii="Georgia" w:hAnsi="Georgia" w:cs="Tahoma"/>
          <w:b/>
          <w:sz w:val="20"/>
          <w:szCs w:val="20"/>
          <w:lang w:val="sr-Latn-BA" w:eastAsia="sr-Cyrl-CS"/>
        </w:rPr>
      </w:pPr>
      <w:r w:rsidRPr="00530C4A">
        <w:rPr>
          <w:rFonts w:ascii="Georgia" w:hAnsi="Georgia" w:cs="Tahoma"/>
          <w:b/>
          <w:sz w:val="20"/>
          <w:szCs w:val="20"/>
          <w:lang w:val="sr-Latn-BA" w:eastAsia="sr-Cyrl-CS"/>
        </w:rPr>
        <w:t>Ako u datim okolnostima nastane saobraćajna nezgoda, onda se pouzdano može zaključiti da je saobraćajna nezgoda nastala kao posljedica opasne situacije koja je uzrokovana nepropisnim postupanjem pješaka. S tim u vezi, sa aspekta saobraćajno tehničkog vještačenja, kod sudara vozila i pješaka van pješačkog prelaza, opasna situacija koja prethodi sudaru je uvijek izazvana nedopuštenim ponašanjem pješaka.</w:t>
      </w:r>
    </w:p>
    <w:p w14:paraId="0A5961F8"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 xml:space="preserve">Ukoliko je brzina kretanja vozila u granicama dopuštene, tada je i saobraćajna nezgoda  u osnovi uzrokovana ponašanjem pješaka, stupanjem na kolovoz i time izazivanjem opasne situacije. Izuzetak od ovog pravila se pojavljuje kada su učesnici u saobraćaju djeca, invalidi, slijepa, stara i nemoćna lica, koja zakon svrstava u posebnu grupu učesnika u saobraćaju prema kojima se primjenjuje „načelo ograničenog uzajamno povjerenja“. </w:t>
      </w:r>
    </w:p>
    <w:p w14:paraId="6161C77B"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U tim slučajevima je neophodno analizirati da li je vozač posvetio posebnu pažnju jer može postojati krivica istog i u slučajevima kada se kretao dozvoljenom brzinom ukoliko je na vrijeme mogao uočiti kretanje pješaka iz tih grupa. Zakonodavac se odlučio za ograničavanje povjerenja zbog posebnih karakteristika ovih učesnika.</w:t>
      </w:r>
    </w:p>
    <w:p w14:paraId="3CF49E47"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 xml:space="preserve">Ukoliko je brzina kretanja vozila veća od dopuštene, tada se može diskutovati o doprinosu vozača nastanku saobraćajne nezgode. Naime, ako je brzina vozila u momentu nastanka opasne situacije veća od dopuštene, a bezbjedna brzina manja od dopuštene, tada postoji doprinos vozača saobraćajne nezgode, čija veličina je značajna kod parničnog postupka. </w:t>
      </w:r>
    </w:p>
    <w:p w14:paraId="455096C4"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Ako je brzina kretanja vozila u momentu nastanka opasne situacije veća od dopuštene, a bezbjedna brzina takođe veća od dopuštene, tada postoji podijeljena odgovornost koja je ovisna o visini prekoračenja brzine vozila.</w:t>
      </w:r>
      <w:r w:rsidRPr="00530C4A">
        <w:rPr>
          <w:rStyle w:val="Referencafusnote"/>
          <w:rFonts w:ascii="Georgia" w:hAnsi="Georgia" w:cs="Tahoma"/>
          <w:sz w:val="20"/>
          <w:szCs w:val="20"/>
          <w:lang w:val="sr-Latn-BA"/>
        </w:rPr>
        <w:footnoteReference w:id="19"/>
      </w:r>
    </w:p>
    <w:p w14:paraId="14620426" w14:textId="0E78988B" w:rsidR="00D36F74"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U cilju donošenja pravilne sudske odluke, kod sudara vozila i pješaka van pješačkog prelaza, polazi se od toga da je vozilo uvijek u prednosti kretanja u odnosu na pješaka</w:t>
      </w:r>
      <w:r w:rsidRPr="00530C4A">
        <w:rPr>
          <w:rStyle w:val="Referencafusnote"/>
          <w:rFonts w:ascii="Georgia" w:hAnsi="Georgia" w:cs="Tahoma"/>
          <w:sz w:val="20"/>
          <w:szCs w:val="20"/>
          <w:lang w:val="sr-Latn-BA"/>
        </w:rPr>
        <w:footnoteReference w:id="20"/>
      </w:r>
      <w:r w:rsidRPr="00530C4A">
        <w:rPr>
          <w:rFonts w:ascii="Georgia" w:hAnsi="Georgia" w:cs="Tahoma"/>
          <w:sz w:val="20"/>
          <w:szCs w:val="20"/>
          <w:lang w:val="sr-Latn-BA"/>
        </w:rPr>
        <w:t xml:space="preserve">. </w:t>
      </w:r>
    </w:p>
    <w:p w14:paraId="2C5F0739"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U okviru navedene konstatacije, moguće je formirati različite forme mišljenja:</w:t>
      </w:r>
    </w:p>
    <w:p w14:paraId="54A4DA6A" w14:textId="77777777" w:rsidR="007116F8" w:rsidRPr="00530C4A" w:rsidRDefault="007116F8" w:rsidP="007116F8">
      <w:pPr>
        <w:autoSpaceDE w:val="0"/>
        <w:autoSpaceDN w:val="0"/>
        <w:adjustRightInd w:val="0"/>
        <w:rPr>
          <w:rFonts w:ascii="Georgia" w:hAnsi="Georgia" w:cs="Tahoma"/>
          <w:b/>
          <w:sz w:val="20"/>
          <w:szCs w:val="20"/>
          <w:lang w:val="sr-Latn-BA"/>
        </w:rPr>
      </w:pPr>
      <w:r w:rsidRPr="00530C4A">
        <w:rPr>
          <w:rFonts w:ascii="Georgia" w:hAnsi="Georgia" w:cs="Tahoma"/>
          <w:b/>
          <w:sz w:val="20"/>
          <w:szCs w:val="20"/>
          <w:lang w:val="sr-Latn-BA"/>
        </w:rPr>
        <w:t>- Ako je brzina kretanja vozila u granicama dopuštene, tada je i saobraćajna nezgoda  u osnovi uzrokovana ponašanjem pješaka, stupanjem na kolovoz i time izazivanjem opasne situacije koja je dovela do nastanka saobraćajne nezgode. Na strani vozača se treba cijeniti mogućnost izbjegavanja nezgode.</w:t>
      </w:r>
    </w:p>
    <w:p w14:paraId="535C0400" w14:textId="77777777" w:rsidR="007116F8" w:rsidRPr="00530C4A" w:rsidRDefault="007116F8" w:rsidP="007116F8">
      <w:pPr>
        <w:autoSpaceDE w:val="0"/>
        <w:autoSpaceDN w:val="0"/>
        <w:adjustRightInd w:val="0"/>
        <w:rPr>
          <w:rFonts w:ascii="Georgia" w:hAnsi="Georgia" w:cs="Tahoma"/>
          <w:b/>
          <w:sz w:val="20"/>
          <w:szCs w:val="20"/>
          <w:lang w:val="sr-Latn-BA"/>
        </w:rPr>
      </w:pPr>
      <w:r w:rsidRPr="00530C4A">
        <w:rPr>
          <w:rFonts w:ascii="Georgia" w:hAnsi="Georgia" w:cs="Tahoma"/>
          <w:b/>
          <w:sz w:val="20"/>
          <w:szCs w:val="20"/>
          <w:lang w:val="sr-Latn-BA"/>
        </w:rPr>
        <w:t xml:space="preserve">- Ako je brzina kretanja vozila u momentu nastanka opasne situacije veća od </w:t>
      </w:r>
      <w:r w:rsidRPr="00530C4A">
        <w:rPr>
          <w:rFonts w:ascii="Georgia" w:hAnsi="Georgia" w:cs="Tahoma"/>
          <w:b/>
          <w:sz w:val="20"/>
          <w:szCs w:val="20"/>
          <w:lang w:val="sr-Latn-BA"/>
        </w:rPr>
        <w:lastRenderedPageBreak/>
        <w:t>dopuštene, a brzina kojom bi mogao izbjeći nezgodu manja ili jednaka najvećoj dozvoljenoj, tada treba utvrditi postojanje doprinosa vozača težini posljedica saobraćajne nezgode.</w:t>
      </w:r>
    </w:p>
    <w:p w14:paraId="0C1258A2" w14:textId="77777777" w:rsidR="007116F8" w:rsidRPr="00530C4A" w:rsidRDefault="007116F8" w:rsidP="007116F8">
      <w:pPr>
        <w:autoSpaceDE w:val="0"/>
        <w:autoSpaceDN w:val="0"/>
        <w:adjustRightInd w:val="0"/>
        <w:rPr>
          <w:rFonts w:ascii="Georgia" w:hAnsi="Georgia" w:cs="Tahoma"/>
          <w:b/>
          <w:sz w:val="20"/>
          <w:szCs w:val="20"/>
          <w:lang w:val="sr-Latn-BA"/>
        </w:rPr>
      </w:pPr>
      <w:r w:rsidRPr="00530C4A">
        <w:rPr>
          <w:rFonts w:ascii="Georgia" w:hAnsi="Georgia" w:cs="Tahoma"/>
          <w:b/>
          <w:sz w:val="20"/>
          <w:szCs w:val="20"/>
          <w:lang w:val="sr-Latn-BA"/>
        </w:rPr>
        <w:t>- Ako je brzina kretanja vozila u momentu nastanka opasne situacije veća od dopuštene, a pri kretanju najvećom dozvoljenom brzinom na predmetnoj dionici puta bi nezgoda mogla biti izbjegnuta, tada postoji podijeljena odgovornost, koja je ovisna o veličini  prekoračenja brzine kretanja vozila.</w:t>
      </w:r>
    </w:p>
    <w:p w14:paraId="36DEF028" w14:textId="77777777" w:rsidR="007116F8" w:rsidRPr="00530C4A" w:rsidRDefault="007116F8" w:rsidP="007116F8">
      <w:pPr>
        <w:autoSpaceDE w:val="0"/>
        <w:autoSpaceDN w:val="0"/>
        <w:adjustRightInd w:val="0"/>
        <w:rPr>
          <w:rFonts w:ascii="Georgia" w:hAnsi="Georgia" w:cs="Tahoma"/>
          <w:b/>
          <w:sz w:val="20"/>
          <w:szCs w:val="20"/>
          <w:lang w:val="sr-Latn-BA"/>
        </w:rPr>
      </w:pPr>
    </w:p>
    <w:p w14:paraId="21AFF5F1"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Ova pravila je nužno poštovati kod donošenja odluke radi pravne sigurnosti i jednakosti u sudovanju. Naročito je bitno na pravilan način sagledati stvarno stanje stvari, lišeno emocija prema bilo kome od učesnika. Pravo je najpravičnije kada je u svom čistom obliku. Čim se počnemo priklanjati na jednu stranu, bio to pješak ili vozač, izgubićemo svrhu prava.</w:t>
      </w:r>
    </w:p>
    <w:p w14:paraId="6170815C" w14:textId="77777777" w:rsidR="007116F8" w:rsidRPr="00530C4A" w:rsidRDefault="007116F8" w:rsidP="007116F8">
      <w:pPr>
        <w:autoSpaceDE w:val="0"/>
        <w:autoSpaceDN w:val="0"/>
        <w:adjustRightInd w:val="0"/>
        <w:rPr>
          <w:rFonts w:ascii="Georgia" w:hAnsi="Georgia" w:cs="Tahoma"/>
          <w:sz w:val="20"/>
          <w:szCs w:val="20"/>
          <w:lang w:val="sr-Latn-BA"/>
        </w:rPr>
      </w:pPr>
      <w:r w:rsidRPr="00530C4A">
        <w:rPr>
          <w:rFonts w:ascii="Georgia" w:hAnsi="Georgia" w:cs="Tahoma"/>
          <w:sz w:val="20"/>
          <w:szCs w:val="20"/>
          <w:lang w:val="sr-Latn-BA"/>
        </w:rPr>
        <w:t>Ako okrivimo vozača zato što je na površini na kojoj mu je zakon daje prednost prolaska, udario pješaka kojeg objektivno nije mogao predvidjeti, koga nije mogao izbjeći i ako ni na koji način nije mogao otkloniti posljedice, grubo ćemo negirati odredbe člana 177. ZOO.</w:t>
      </w:r>
    </w:p>
    <w:p w14:paraId="393D485B"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U situacijama kada pješak dolazi vozaču sa lijeve strane kolovoza opasna situacija ne nastaje u momentu kada se pješak stupi sa lijeve ivice na kolovoz. Ako bi se za trenutak nastanka opasne situacije uzimao momenat kada vozač uoči pješaka na lijevoj strani kolovoza i da tada ima obavezu da očekuje da će se pješak možda nepravilno kretati, to bi značilo da svi učesnici u saobraćaju treba da očekuju nepropisno ponašanje svih drugih učesnika, a što bi bilo u suprotnosti sa važećim načelom „uzajamnog povjerenja“ za takve situacije. Odvijanje saobraćaja pod takvim uslovima bilo bi nemoguće. Iz tog razloga za trenutak nastanka opasne situacije uzima se trenutak kada je nesporno da će pješak zakoračiti u saobraćajnu traku kojom se vozilo kreće, odnosno kada se pješak nalazi (u slučajevima koračanja pješaka) najviše 0,7 metara unutar  saobraćajne trake kojom se vozilo kreće</w:t>
      </w:r>
      <w:r w:rsidRPr="00530C4A">
        <w:rPr>
          <w:rStyle w:val="Referencafusnote"/>
          <w:rFonts w:ascii="Georgia" w:hAnsi="Georgia" w:cs="Tahoma"/>
          <w:sz w:val="20"/>
          <w:szCs w:val="20"/>
          <w:lang w:val="sr-Latn-BA"/>
        </w:rPr>
        <w:footnoteReference w:id="21"/>
      </w:r>
      <w:r w:rsidRPr="00530C4A">
        <w:rPr>
          <w:rFonts w:ascii="Georgia" w:hAnsi="Georgia" w:cs="Tahoma"/>
          <w:sz w:val="20"/>
          <w:szCs w:val="20"/>
          <w:lang w:val="sr-Latn-BA"/>
        </w:rPr>
        <w:t>. Ovakvo tumačenje pojma kolovoz je neophodno radi normalnog odvijanja saobraćaja. Ako zamislimo situaciju u kojoj vozač u krajnjoj desnoj saobraćajnoj traci koči i zaustavlja se da bi propustio pješaka koji van pješačkog prelaza stupa na kolovoz lijeve saobraćajne trake na mjestima gdje ima dvije ili više traka, jasno je zašto zakonodavac daje prednost vozilima.</w:t>
      </w:r>
    </w:p>
    <w:p w14:paraId="7F0D97DB" w14:textId="77777777" w:rsidR="007116F8" w:rsidRPr="00530C4A" w:rsidRDefault="007116F8" w:rsidP="007116F8">
      <w:pPr>
        <w:rPr>
          <w:rFonts w:ascii="Georgia" w:hAnsi="Georgia" w:cs="Tahoma"/>
          <w:b/>
          <w:sz w:val="20"/>
          <w:szCs w:val="20"/>
          <w:lang w:val="sr-Latn-BA" w:eastAsia="sr-Cyrl-CS"/>
        </w:rPr>
      </w:pPr>
    </w:p>
    <w:p w14:paraId="37CD1758" w14:textId="77777777" w:rsidR="007116F8" w:rsidRPr="00530C4A" w:rsidRDefault="007116F8" w:rsidP="007116F8">
      <w:pPr>
        <w:rPr>
          <w:rFonts w:ascii="Georgia" w:hAnsi="Georgia" w:cs="Tahoma"/>
          <w:b/>
          <w:sz w:val="20"/>
          <w:szCs w:val="20"/>
          <w:lang w:val="sr-Latn-BA" w:eastAsia="sr-Cyrl-CS"/>
        </w:rPr>
      </w:pPr>
    </w:p>
    <w:p w14:paraId="520563AF" w14:textId="77777777" w:rsidR="007116F8" w:rsidRPr="00530C4A" w:rsidRDefault="007116F8" w:rsidP="007116F8">
      <w:pPr>
        <w:rPr>
          <w:rFonts w:ascii="Georgia" w:hAnsi="Georgia" w:cs="Tahoma"/>
          <w:b/>
          <w:sz w:val="20"/>
          <w:szCs w:val="20"/>
          <w:lang w:val="sr-Latn-BA" w:eastAsia="sr-Cyrl-CS"/>
        </w:rPr>
      </w:pPr>
    </w:p>
    <w:p w14:paraId="33CE0CD0" w14:textId="77777777" w:rsidR="007116F8" w:rsidRPr="00530C4A" w:rsidRDefault="007116F8" w:rsidP="007116F8">
      <w:pPr>
        <w:rPr>
          <w:rFonts w:ascii="Georgia" w:hAnsi="Georgia" w:cs="Tahoma"/>
          <w:b/>
          <w:sz w:val="20"/>
          <w:szCs w:val="20"/>
          <w:lang w:val="sr-Latn-BA" w:eastAsia="sr-Cyrl-CS"/>
        </w:rPr>
      </w:pPr>
    </w:p>
    <w:p w14:paraId="02CE520C" w14:textId="77777777" w:rsidR="007116F8" w:rsidRPr="00530C4A" w:rsidRDefault="007116F8" w:rsidP="007116F8">
      <w:pPr>
        <w:rPr>
          <w:rFonts w:ascii="Georgia" w:hAnsi="Georgia" w:cs="Tahoma"/>
          <w:b/>
          <w:sz w:val="20"/>
          <w:szCs w:val="20"/>
          <w:lang w:val="sr-Latn-BA" w:eastAsia="sr-Cyrl-CS"/>
        </w:rPr>
      </w:pPr>
    </w:p>
    <w:p w14:paraId="402E389A" w14:textId="77777777" w:rsidR="007116F8" w:rsidRPr="00530C4A" w:rsidRDefault="007116F8" w:rsidP="007116F8">
      <w:pPr>
        <w:rPr>
          <w:rFonts w:ascii="Georgia" w:hAnsi="Georgia" w:cs="Tahoma"/>
          <w:b/>
          <w:sz w:val="20"/>
          <w:szCs w:val="20"/>
          <w:lang w:val="sr-Latn-BA" w:eastAsia="sr-Cyrl-CS"/>
        </w:rPr>
      </w:pPr>
    </w:p>
    <w:p w14:paraId="483E4629" w14:textId="77777777" w:rsidR="007116F8" w:rsidRPr="00530C4A" w:rsidRDefault="007116F8" w:rsidP="007116F8">
      <w:pPr>
        <w:rPr>
          <w:rFonts w:ascii="Georgia" w:hAnsi="Georgia" w:cs="Tahoma"/>
          <w:b/>
          <w:sz w:val="20"/>
          <w:szCs w:val="20"/>
          <w:lang w:val="sr-Latn-BA" w:eastAsia="sr-Cyrl-CS"/>
        </w:rPr>
      </w:pPr>
    </w:p>
    <w:p w14:paraId="27474AD5" w14:textId="77777777" w:rsidR="004423F5" w:rsidRPr="00530C4A" w:rsidRDefault="004423F5" w:rsidP="007116F8">
      <w:pPr>
        <w:rPr>
          <w:rFonts w:ascii="Georgia" w:hAnsi="Georgia" w:cs="Tahoma"/>
          <w:b/>
          <w:sz w:val="20"/>
          <w:szCs w:val="20"/>
          <w:lang w:val="sr-Latn-BA" w:eastAsia="sr-Cyrl-CS"/>
        </w:rPr>
      </w:pPr>
    </w:p>
    <w:p w14:paraId="750E899E" w14:textId="77777777" w:rsidR="004423F5" w:rsidRPr="00530C4A" w:rsidRDefault="004423F5" w:rsidP="007116F8">
      <w:pPr>
        <w:rPr>
          <w:rFonts w:ascii="Georgia" w:hAnsi="Georgia" w:cs="Tahoma"/>
          <w:b/>
          <w:sz w:val="20"/>
          <w:szCs w:val="20"/>
          <w:lang w:val="sr-Latn-BA" w:eastAsia="sr-Cyrl-CS"/>
        </w:rPr>
      </w:pPr>
    </w:p>
    <w:p w14:paraId="4380C6A4" w14:textId="77777777" w:rsidR="006F4AB6" w:rsidRPr="00530C4A" w:rsidRDefault="006F4AB6" w:rsidP="007116F8">
      <w:pPr>
        <w:rPr>
          <w:rFonts w:ascii="Georgia" w:hAnsi="Georgia" w:cs="Tahoma"/>
          <w:b/>
          <w:sz w:val="20"/>
          <w:szCs w:val="20"/>
          <w:lang w:val="sr-Latn-BA" w:eastAsia="sr-Cyrl-CS"/>
        </w:rPr>
      </w:pPr>
    </w:p>
    <w:p w14:paraId="3E51599F" w14:textId="77777777" w:rsidR="006F4AB6" w:rsidRPr="00530C4A" w:rsidRDefault="006F4AB6" w:rsidP="007116F8">
      <w:pPr>
        <w:rPr>
          <w:rFonts w:ascii="Georgia" w:hAnsi="Georgia" w:cs="Tahoma"/>
          <w:b/>
          <w:sz w:val="20"/>
          <w:szCs w:val="20"/>
          <w:lang w:val="sr-Latn-BA" w:eastAsia="sr-Cyrl-CS"/>
        </w:rPr>
      </w:pPr>
    </w:p>
    <w:p w14:paraId="1816780D" w14:textId="77777777" w:rsidR="007116F8" w:rsidRPr="00530C4A" w:rsidRDefault="007116F8" w:rsidP="007116F8">
      <w:pPr>
        <w:rPr>
          <w:rFonts w:ascii="Georgia" w:hAnsi="Georgia" w:cs="Tahoma"/>
          <w:b/>
          <w:sz w:val="20"/>
          <w:szCs w:val="20"/>
          <w:lang w:val="sr-Latn-BA" w:eastAsia="sr-Cyrl-CS"/>
        </w:rPr>
      </w:pPr>
    </w:p>
    <w:p w14:paraId="4787B3BB" w14:textId="77777777" w:rsidR="007116F8" w:rsidRPr="00530C4A" w:rsidRDefault="007116F8" w:rsidP="007116F8">
      <w:pPr>
        <w:pStyle w:val="Paragrafspiska"/>
        <w:numPr>
          <w:ilvl w:val="0"/>
          <w:numId w:val="20"/>
        </w:numPr>
        <w:rPr>
          <w:rFonts w:ascii="Georgia" w:eastAsia="Times New Roman" w:hAnsi="Georgia" w:cs="Tahoma"/>
          <w:b/>
          <w:sz w:val="20"/>
          <w:szCs w:val="20"/>
          <w:lang w:val="sr-Latn-BA" w:eastAsia="sr-Cyrl-CS"/>
        </w:rPr>
      </w:pPr>
      <w:r w:rsidRPr="00530C4A">
        <w:rPr>
          <w:rFonts w:ascii="Georgia" w:eastAsia="Times New Roman" w:hAnsi="Georgia" w:cs="Tahoma"/>
          <w:b/>
          <w:sz w:val="20"/>
          <w:szCs w:val="20"/>
          <w:lang w:val="sr-Latn-BA" w:eastAsia="sr-Cyrl-CS"/>
        </w:rPr>
        <w:t>SAOBRAĆAJNE NEZGODE TIPA: VOZILO-VOZILO</w:t>
      </w:r>
    </w:p>
    <w:p w14:paraId="3C06DA7C" w14:textId="77777777" w:rsidR="007116F8" w:rsidRPr="00530C4A" w:rsidRDefault="007116F8" w:rsidP="007116F8">
      <w:pPr>
        <w:rPr>
          <w:rFonts w:ascii="Georgia" w:hAnsi="Georgia" w:cs="Tahoma"/>
          <w:sz w:val="20"/>
          <w:szCs w:val="20"/>
          <w:lang w:val="sr-Latn-BA" w:eastAsia="sr-Cyrl-CS"/>
        </w:rPr>
      </w:pPr>
    </w:p>
    <w:p w14:paraId="6DF8A0CF"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U saobraćajnim nezgodama u kojem učestvuju dva vozila, odgovornost za štetu se cijeni po pravilima subjektivne odgovornosti (član 178. ZOO). Odredbama člana 154. 158 i 178. se normira krivica. Po pravilu krivica je na strani vozača čija je radnja bila nedopuštena i koja je prethodila sudaru, odnosno uzrokovala saobraćajnu nezgodu. </w:t>
      </w:r>
    </w:p>
    <w:p w14:paraId="46E90C4A"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Kod suđenja za saobraćajne nezgode u parničnom postupku, doprinos oštećenog se utvrđuje kao doprinos u nastanku nezgode ili doprinos u posljedici saobraćajne nezgode (192. ZOO). </w:t>
      </w:r>
    </w:p>
    <w:p w14:paraId="2E936F6A" w14:textId="77777777" w:rsidR="007116F8" w:rsidRPr="00530C4A" w:rsidRDefault="007116F8" w:rsidP="007116F8">
      <w:pPr>
        <w:rPr>
          <w:rFonts w:ascii="Georgia" w:hAnsi="Georgia" w:cs="Tahoma"/>
          <w:color w:val="000000" w:themeColor="text1"/>
          <w:sz w:val="20"/>
          <w:szCs w:val="20"/>
          <w:lang w:val="sr-Latn-BA" w:eastAsia="sr-Cyrl-CS"/>
        </w:rPr>
      </w:pPr>
      <w:r w:rsidRPr="00530C4A">
        <w:rPr>
          <w:rFonts w:ascii="Georgia" w:hAnsi="Georgia" w:cs="Tahoma"/>
          <w:color w:val="000000" w:themeColor="text1"/>
          <w:sz w:val="20"/>
          <w:szCs w:val="20"/>
          <w:lang w:val="sr-Latn-BA" w:eastAsia="sr-Cyrl-CS"/>
        </w:rPr>
        <w:t>Kod sukoba dva ponašanja od kojih je jedno nedopušteno (oduzimanje prvenstva, nepostupanje po znaku, kretanje nedozvoljenom površinom i sl). vještak treba da polazi od situacije da je takva radnja uzrok nastanka opasne situacije, te da na strani ostalih učesnika u saobraćaju cijeni mogućnost izbjegavanja nezgode (sukob prava i neprava). Sa druge strane, ako su dvije ili više radnji učesnika u nezgodi dozvoljene pojedinačno, onda je neophodno analizirati koja je od radnji prva započeta</w:t>
      </w:r>
      <w:r w:rsidRPr="00530C4A">
        <w:rPr>
          <w:rStyle w:val="Referencafusnote"/>
          <w:rFonts w:ascii="Georgia" w:hAnsi="Georgia" w:cs="Tahoma"/>
          <w:color w:val="000000" w:themeColor="text1"/>
          <w:sz w:val="20"/>
          <w:szCs w:val="20"/>
          <w:lang w:val="sr-Latn-BA" w:eastAsia="sr-Cyrl-CS"/>
        </w:rPr>
        <w:footnoteReference w:id="22"/>
      </w:r>
      <w:r w:rsidRPr="00530C4A">
        <w:rPr>
          <w:rFonts w:ascii="Georgia" w:hAnsi="Georgia" w:cs="Tahoma"/>
          <w:color w:val="000000" w:themeColor="text1"/>
          <w:sz w:val="20"/>
          <w:szCs w:val="20"/>
          <w:lang w:val="sr-Latn-BA" w:eastAsia="sr-Cyrl-CS"/>
        </w:rPr>
        <w:t>.</w:t>
      </w:r>
    </w:p>
    <w:p w14:paraId="749A95D4"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Na primjeru brzine kretanja vozila biće objašnjeno kako vještak treba analizirati da li je prekoračenje brzine uzrok nezgode, doprinos u nastanku ili doprinos u posljedici (povećanje štete).</w:t>
      </w:r>
    </w:p>
    <w:p w14:paraId="76309885"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Prilikom vršenja vremensko-prostorne analize saobraćajne nezgode vještak će primarno utvrditi sudarnu brzinu vozila, a zatim će utvrditi gdje su se vozila nalazila u trenutku nastanka opasne situacije, odnosno u trenutku kada postoji mogućnost da se putanje učesnika sijeku u istom trenutku. Ukoliko utvrdi da se jedno od vozila kretalo brzinom većom od najveće dozvoljene brzine, izvršiće analizu na koji način je brzina uticala na nastanak nezgode, tako što će umjesto posjedovane brzine vozila koristiti najveću dozvoljnu brzinu vozila za predmetnu dionicu puta. Dakle, vještak će uporediti konkretno ponašanje učesnika u nezgodi sa  ponašenjem koje je pravilno, dopušteno i uobičajeno po redovnom toku stvari.</w:t>
      </w:r>
    </w:p>
    <w:p w14:paraId="6E9C648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U zavisnosti od rezultata nalize vještak može doći do sljedećih zaključka:</w:t>
      </w:r>
    </w:p>
    <w:p w14:paraId="00CA2E52" w14:textId="77777777" w:rsidR="007116F8" w:rsidRPr="00530C4A" w:rsidRDefault="007116F8" w:rsidP="007116F8">
      <w:pPr>
        <w:rPr>
          <w:rFonts w:ascii="Georgia" w:hAnsi="Georgia" w:cs="Tahoma"/>
          <w:b/>
          <w:sz w:val="20"/>
          <w:szCs w:val="20"/>
          <w:lang w:val="sr-Latn-BA" w:eastAsia="sr-Cyrl-CS"/>
        </w:rPr>
      </w:pPr>
      <w:r w:rsidRPr="00530C4A">
        <w:rPr>
          <w:rFonts w:ascii="Georgia" w:hAnsi="Georgia" w:cs="Tahoma"/>
          <w:b/>
          <w:sz w:val="20"/>
          <w:szCs w:val="20"/>
          <w:lang w:val="sr-Latn-BA" w:eastAsia="sr-Cyrl-CS"/>
        </w:rPr>
        <w:t>- brzina je uzrok nezgode, ako pri najvećoj dozvoljenoj brzini kretanja, bez reakcije vozača ne bi došlo do konflikta sa drugim vozilom, odnosno ako bi drugo vozilo završilo svoju radnju bez dolaska u konfliktnu zonu;</w:t>
      </w:r>
    </w:p>
    <w:p w14:paraId="675FC326" w14:textId="77777777" w:rsidR="007116F8" w:rsidRPr="00530C4A" w:rsidRDefault="007116F8" w:rsidP="007116F8">
      <w:pPr>
        <w:rPr>
          <w:rFonts w:ascii="Georgia" w:hAnsi="Georgia" w:cs="Tahoma"/>
          <w:b/>
          <w:sz w:val="20"/>
          <w:szCs w:val="20"/>
          <w:lang w:val="sr-Latn-BA" w:eastAsia="sr-Cyrl-CS"/>
        </w:rPr>
      </w:pPr>
      <w:r w:rsidRPr="00530C4A">
        <w:rPr>
          <w:rFonts w:ascii="Georgia" w:hAnsi="Georgia" w:cs="Tahoma"/>
          <w:b/>
          <w:sz w:val="20"/>
          <w:szCs w:val="20"/>
          <w:lang w:val="sr-Latn-BA" w:eastAsia="sr-Cyrl-CS"/>
        </w:rPr>
        <w:t>- brzina je doprinos nastanku nezgode, ako bi pri najvećoj dozvoljenoj brzini kretanja vozač mogao kočenjem izbjeći nastanak nezgode (sud će cijeniti doprinos prema svim okolnostima slučaja);</w:t>
      </w:r>
    </w:p>
    <w:p w14:paraId="5FCE6DF5" w14:textId="77777777" w:rsidR="007116F8" w:rsidRPr="00530C4A" w:rsidRDefault="007116F8" w:rsidP="007116F8">
      <w:pPr>
        <w:rPr>
          <w:rFonts w:ascii="Georgia" w:hAnsi="Georgia" w:cs="Tahoma"/>
          <w:b/>
          <w:sz w:val="20"/>
          <w:szCs w:val="20"/>
          <w:lang w:val="sr-Latn-BA" w:eastAsia="sr-Cyrl-CS"/>
        </w:rPr>
      </w:pPr>
      <w:r w:rsidRPr="00530C4A">
        <w:rPr>
          <w:rFonts w:ascii="Georgia" w:hAnsi="Georgia" w:cs="Tahoma"/>
          <w:b/>
          <w:sz w:val="20"/>
          <w:szCs w:val="20"/>
          <w:lang w:val="sr-Latn-BA" w:eastAsia="sr-Cyrl-CS"/>
        </w:rPr>
        <w:t>- brzina je doprinos u visini posljedica, ako pri najvećoj dozvoljenoj brzini kretanja vozač ne bi mogao kočenjem izbjeći nezgodu, a nastupi veća šteta nego što bi nastupila pri kretanju najvećom dozvoljenom brzinom;</w:t>
      </w:r>
    </w:p>
    <w:p w14:paraId="4D0F1321"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Primjera radi, ako je vozilo oštećenog ušlo u sudarni kontakt pri brzini 80 km/h a najveća dopuštena brzina je 50 km/h, postavlja se pitanje, koliko je razlika kinetičke energije od 30 km/h, doprinijela nastaloj posljedici. </w:t>
      </w:r>
    </w:p>
    <w:p w14:paraId="621E3225"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Utrošena kinetička energije u sudaru, je u direktnoj posljedici rasta kvadrata brzine, što direktno utiče na posljedice saobraćajne nezgode, što je predstavljeno na Slici 2.</w:t>
      </w:r>
    </w:p>
    <w:p w14:paraId="3B76A217"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 </w:t>
      </w:r>
    </w:p>
    <w:p w14:paraId="51350E5E"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rPr>
        <w:lastRenderedPageBreak/>
        <w:t xml:space="preserve"> </w:t>
      </w:r>
      <w:r w:rsidRPr="00530C4A">
        <w:rPr>
          <w:rFonts w:ascii="Georgia" w:hAnsi="Georgia" w:cs="Tahoma"/>
          <w:noProof/>
          <w:sz w:val="20"/>
          <w:szCs w:val="20"/>
          <w:lang w:val="bs-Latn-BA" w:eastAsia="bs-Latn-BA"/>
        </w:rPr>
        <w:drawing>
          <wp:inline distT="0" distB="0" distL="0" distR="0" wp14:anchorId="1A2634BB" wp14:editId="46C1B9BB">
            <wp:extent cx="2981960" cy="194818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960" cy="1948180"/>
                    </a:xfrm>
                    <a:prstGeom prst="rect">
                      <a:avLst/>
                    </a:prstGeom>
                    <a:noFill/>
                    <a:ln>
                      <a:noFill/>
                    </a:ln>
                  </pic:spPr>
                </pic:pic>
              </a:graphicData>
            </a:graphic>
          </wp:inline>
        </w:drawing>
      </w:r>
    </w:p>
    <w:p w14:paraId="7B7506F5"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Slika 2. Posljedice saobraćajne nezgode u ovisnosti od sudarne brzine vozila;</w:t>
      </w:r>
    </w:p>
    <w:p w14:paraId="2C786A2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Obzirom da je u pitanju složena posljedica materijalne i nematerijalne štete, ovakva vještačenja bi trebalo da budu kombinovana odnosno interdisciplinarana, u okviru nadležnosti saobraćajnog, mašinskog i medicinskog vještaka.</w:t>
      </w:r>
    </w:p>
    <w:p w14:paraId="23A88851" w14:textId="19185BE3"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Kao što je prikazano na primjeru brzine, vještak će na isti način postupiti i pri analizi svake radn</w:t>
      </w:r>
      <w:r w:rsidR="00D36F74" w:rsidRPr="00530C4A">
        <w:rPr>
          <w:rFonts w:ascii="Georgia" w:hAnsi="Georgia" w:cs="Tahoma"/>
          <w:sz w:val="20"/>
          <w:szCs w:val="20"/>
          <w:lang w:val="sr-Latn-BA" w:eastAsia="sr-Cyrl-CS"/>
        </w:rPr>
        <w:t>je koja je mogući uzrok nezgode</w:t>
      </w:r>
    </w:p>
    <w:p w14:paraId="1382517D" w14:textId="77777777" w:rsidR="007116F8" w:rsidRPr="00530C4A" w:rsidRDefault="007116F8" w:rsidP="007116F8">
      <w:pPr>
        <w:widowControl/>
        <w:numPr>
          <w:ilvl w:val="0"/>
          <w:numId w:val="28"/>
        </w:numPr>
        <w:spacing w:after="0"/>
        <w:rPr>
          <w:rFonts w:ascii="Georgia" w:hAnsi="Georgia" w:cs="Tahoma"/>
          <w:b/>
          <w:sz w:val="20"/>
          <w:szCs w:val="20"/>
          <w:lang w:val="sr-Latn-BA" w:eastAsia="sr-Cyrl-CS"/>
        </w:rPr>
      </w:pPr>
      <w:r w:rsidRPr="00530C4A">
        <w:rPr>
          <w:rFonts w:ascii="Georgia" w:hAnsi="Georgia" w:cs="Tahoma"/>
          <w:b/>
          <w:sz w:val="20"/>
          <w:szCs w:val="20"/>
          <w:lang w:val="sr-Latn-BA" w:eastAsia="sr-Cyrl-CS"/>
        </w:rPr>
        <w:t>ZAKLJUČAK</w:t>
      </w:r>
    </w:p>
    <w:p w14:paraId="097CD585" w14:textId="77777777" w:rsidR="007116F8" w:rsidRPr="00530C4A" w:rsidRDefault="007116F8" w:rsidP="007116F8">
      <w:pPr>
        <w:rPr>
          <w:rFonts w:ascii="Georgia" w:hAnsi="Georgia" w:cs="Tahoma"/>
          <w:b/>
          <w:sz w:val="20"/>
          <w:szCs w:val="20"/>
          <w:lang w:val="sr-Latn-BA" w:eastAsia="sr-Cyrl-CS"/>
        </w:rPr>
      </w:pPr>
    </w:p>
    <w:p w14:paraId="15181022"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U okviru utvrđivanja odgovornosti za nastanak saobraćajne nezgode, moramo prvenstveno utvrditi dozvoljenost ponašanja učesnika i razdvojiti uzroke nastanka nezgode i posljedice u visini štete.</w:t>
      </w:r>
    </w:p>
    <w:p w14:paraId="59293DC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Svaku radnju učesnika je potrebno analizirati pojedinačno i u vezi sa drugim radnjama. Pri ocjenjivanju svakog slučaja neophodno je uporediti konkretno ponašanje učesnika u nezgodi sa  ponašenjem koje je pravilno, dopušteno i uobičajeno po redovnom toku stvari, apstrahujući svaku izvanrednost i neredovnost.</w:t>
      </w:r>
    </w:p>
    <w:p w14:paraId="64C4031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Podijeljenu odgovornost je nužno razlikovati od solidarne odgovornosti. Solidarna odgovornost je odgovornost više lica za istu štetu u kojoj ta lica prema trećim licima odgovaraju po principu svi za sve, a onda u eventualnim regresnim parnicama uređuju svoje međusobne odnose i doprinose u nastanku.</w:t>
      </w:r>
    </w:p>
    <w:p w14:paraId="0954D991"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Kod sudara vozila i pješaka primjenjuju se pravila o objektivnoj odgovornosti. Teret dokazivanja uzročne veze je na pješaku, a dokazivanje osnova za oslobađanje od odgovornosti je na vozaču.</w:t>
      </w:r>
    </w:p>
    <w:p w14:paraId="72AA961A"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Ako pri nedopuštenom kretanju pješaka kolovozom van pješačkog prelaza nastane saobraćajna nezgoda, onda je saobraćajna nezgoda nastala kao posljedica opasne situacije koja je uzrokovana nepropisnim postupanjem pješaka. Sa aspekta saobraćajno-tehničkog vještačenja, kod sudara vozila i pješaka van pješačkog prelaza, opasna situacija koja prethodi sudaru je uvijek izazvana nedopuštenim ponašanjem pješaka. U cilju donošenja pravilne sudske odluke, kod sudara vozila i pješaka van pješačkog prelaza, polazi se od toga da je vozilo uvijek u prednosti kretanja u odnosu na pješaka. </w:t>
      </w:r>
    </w:p>
    <w:p w14:paraId="555F0431"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U okviru navedene konstatacije, moguće je formirati različite forme mišljenja:</w:t>
      </w:r>
    </w:p>
    <w:p w14:paraId="1A637559" w14:textId="51E7ECA5"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xml:space="preserve">- Ako je </w:t>
      </w:r>
      <w:r w:rsidRPr="00530C4A">
        <w:rPr>
          <w:rStyle w:val="Naglaavanje"/>
          <w:rFonts w:ascii="Georgia" w:hAnsi="Georgia"/>
          <w:i w:val="0"/>
        </w:rPr>
        <w:t>brzina</w:t>
      </w:r>
      <w:r w:rsidRPr="00530C4A">
        <w:rPr>
          <w:rFonts w:ascii="Georgia" w:hAnsi="Georgia" w:cs="Tahoma"/>
          <w:i/>
          <w:sz w:val="20"/>
          <w:szCs w:val="20"/>
          <w:lang w:val="sr-Latn-BA" w:eastAsia="sr-Cyrl-CS"/>
        </w:rPr>
        <w:t xml:space="preserve"> </w:t>
      </w:r>
      <w:r w:rsidRPr="00530C4A">
        <w:rPr>
          <w:rFonts w:ascii="Georgia" w:hAnsi="Georgia" w:cs="Tahoma"/>
          <w:sz w:val="20"/>
          <w:szCs w:val="20"/>
          <w:lang w:val="sr-Latn-BA" w:eastAsia="sr-Cyrl-CS"/>
        </w:rPr>
        <w:t>kretanja vozila u granicama dopuštene, tada je i saobraćajna nezgoda  u osnovi uzrokovana ponašanjem pješaka, stupanjem na kolovoz i time izazivanjem opasne situacije koja je dovela do nastanka saobraćajne nezgode. Na strani vozača se treba cijeniti mogućnost izbjegavanja nezgode.</w:t>
      </w:r>
    </w:p>
    <w:p w14:paraId="749993DF"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Ako je brzina kretanja vozila u momentu nastanka opasne situacije veća od dopuštene, a brzina kojom bi mogao izbjeći nezgodu manja ili jednaka najvećoj dozvoljenoj, tada treba utvrditi postojanje doprinosa vozača težini posljedica saobraćajne nezgode.</w:t>
      </w:r>
    </w:p>
    <w:p w14:paraId="42CAC939"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lastRenderedPageBreak/>
        <w:t>- Ako je brzina kretanja vozila u momentu nastanka opasne situacije veća od dopuštene, a pri kretanju najvećom dozvoljenom brzinom na predmetnoj dionici puta bi nezgoda mogla biti izbjegnuta, tada postoji podijeljena odgovornost, koja je ovisna o veličini  prekoračenja brzine kretanja vozila.</w:t>
      </w:r>
    </w:p>
    <w:p w14:paraId="3D50720D"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U saobraćajnim nezgodama u kojem učestvuju dva vozila, odgovornost za štetu se cijeni po pravilima subjektivne odgovornosti. Kod suđenja za saobraćajne nezgode u parničnom postupku, doprinos oštećenog se utvrđuje kao doprinos u nastanku nezgode ili doprinos u posljedici saobraćajne nezgode. Kod sukoba dva ponašanja od kojih je jedno nedopušteno, vještak treba da polazi od situacije da je takva radnja uzrok nastanka opasne situacije, te da na strani ostalih učesnika u saobraćaju cijeni mogućnost izbjegavanja nezgode (sukob prava i neprava). Sa druge strane, ako su dvije ili više radnji učesnika u nezgodi dozvoljene pojedinačno, onda je neophodno analizirati koja je od radnji prva započeta.</w:t>
      </w:r>
    </w:p>
    <w:p w14:paraId="34CB2A44"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U zavisnosti od rezultata vremensko prostorne analize, u pogledu brzine kretanja vozila vještak može doći do sljedećih zaključaka:</w:t>
      </w:r>
    </w:p>
    <w:p w14:paraId="7121444C"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brzina je uzrok nezgode, ako pri najvećoj dozvoljenoj brzini kretanja, bez reakcije vozača ne bi došlo do konflikta sa drugim vozilom, odnosno ako bi drugo vozilo završilo svoju radnju bez dolaska u konfliktnu zonu;</w:t>
      </w:r>
    </w:p>
    <w:p w14:paraId="24461065"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brzina je doprinos nastanku nezgode, ako bi pri najvećoj dozvoljenoj brzini kretanja vozač mogao kočenjem izbjeći nastanak nezgode (sud će cijeniti doprinos prema svim okolnostima slučaja);</w:t>
      </w:r>
    </w:p>
    <w:p w14:paraId="2EEFC50A" w14:textId="77777777" w:rsidR="007116F8" w:rsidRPr="00530C4A" w:rsidRDefault="007116F8" w:rsidP="007116F8">
      <w:pPr>
        <w:rPr>
          <w:rFonts w:ascii="Georgia" w:hAnsi="Georgia" w:cs="Tahoma"/>
          <w:sz w:val="20"/>
          <w:szCs w:val="20"/>
          <w:lang w:val="sr-Latn-BA" w:eastAsia="sr-Cyrl-CS"/>
        </w:rPr>
      </w:pPr>
      <w:r w:rsidRPr="00530C4A">
        <w:rPr>
          <w:rFonts w:ascii="Georgia" w:hAnsi="Georgia" w:cs="Tahoma"/>
          <w:sz w:val="20"/>
          <w:szCs w:val="20"/>
          <w:lang w:val="sr-Latn-BA" w:eastAsia="sr-Cyrl-CS"/>
        </w:rPr>
        <w:t>- brzina je doprinos u visini posljedica, ako pri najvećoj dozvoljenoj brzini kretanja vozač ne bi mogao kočenjem izbjeći nezgodu, a nastupi veća šteta nego što bi nastupila pri kretanju najvećom dozvoljenom brzinom;</w:t>
      </w:r>
    </w:p>
    <w:p w14:paraId="3F66DC03" w14:textId="77777777" w:rsidR="007116F8" w:rsidRPr="00530C4A" w:rsidRDefault="007116F8" w:rsidP="007116F8">
      <w:pPr>
        <w:rPr>
          <w:rFonts w:ascii="Georgia" w:hAnsi="Georgia" w:cs="Tahoma"/>
          <w:sz w:val="20"/>
          <w:szCs w:val="20"/>
          <w:lang w:val="sr-Latn-BA" w:eastAsia="sr-Cyrl-CS"/>
        </w:rPr>
      </w:pPr>
    </w:p>
    <w:p w14:paraId="348789E4" w14:textId="77777777" w:rsidR="007116F8" w:rsidRPr="00530C4A" w:rsidRDefault="007116F8" w:rsidP="007116F8">
      <w:pPr>
        <w:rPr>
          <w:rFonts w:ascii="Georgia" w:hAnsi="Georgia" w:cs="Tahoma"/>
          <w:sz w:val="20"/>
          <w:szCs w:val="20"/>
          <w:lang w:val="sr-Latn-BA" w:eastAsia="sr-Cyrl-CS"/>
        </w:rPr>
      </w:pPr>
    </w:p>
    <w:p w14:paraId="4EC1C0E6" w14:textId="77777777" w:rsidR="007116F8" w:rsidRPr="00530C4A" w:rsidRDefault="007116F8" w:rsidP="007116F8">
      <w:pPr>
        <w:rPr>
          <w:rFonts w:ascii="Georgia" w:hAnsi="Georgia" w:cs="Tahoma"/>
          <w:sz w:val="20"/>
          <w:szCs w:val="20"/>
          <w:lang w:val="sr-Latn-BA" w:eastAsia="sr-Cyrl-CS"/>
        </w:rPr>
      </w:pPr>
    </w:p>
    <w:p w14:paraId="7A1225EC" w14:textId="77777777" w:rsidR="007116F8" w:rsidRPr="00530C4A" w:rsidRDefault="007116F8" w:rsidP="007116F8">
      <w:pPr>
        <w:rPr>
          <w:rFonts w:ascii="Georgia" w:hAnsi="Georgia" w:cs="Tahoma"/>
          <w:sz w:val="20"/>
          <w:szCs w:val="20"/>
          <w:lang w:val="sr-Latn-BA" w:eastAsia="sr-Cyrl-CS"/>
        </w:rPr>
      </w:pPr>
    </w:p>
    <w:p w14:paraId="2545BDEE" w14:textId="77777777" w:rsidR="007116F8" w:rsidRPr="00530C4A" w:rsidRDefault="007116F8" w:rsidP="007116F8">
      <w:pPr>
        <w:rPr>
          <w:rFonts w:ascii="Georgia" w:hAnsi="Georgia" w:cs="Tahoma"/>
          <w:sz w:val="20"/>
          <w:szCs w:val="20"/>
          <w:lang w:val="sr-Latn-BA" w:eastAsia="sr-Cyrl-CS"/>
        </w:rPr>
      </w:pPr>
    </w:p>
    <w:p w14:paraId="7F941C36" w14:textId="77777777" w:rsidR="007116F8" w:rsidRPr="00530C4A" w:rsidRDefault="007116F8" w:rsidP="007116F8">
      <w:pPr>
        <w:rPr>
          <w:rFonts w:ascii="Georgia" w:hAnsi="Georgia" w:cs="Tahoma"/>
          <w:sz w:val="20"/>
          <w:szCs w:val="20"/>
          <w:lang w:val="sr-Latn-BA" w:eastAsia="sr-Cyrl-CS"/>
        </w:rPr>
      </w:pPr>
    </w:p>
    <w:p w14:paraId="700B5221" w14:textId="77777777" w:rsidR="007116F8" w:rsidRPr="00530C4A" w:rsidRDefault="007116F8" w:rsidP="007116F8">
      <w:pPr>
        <w:rPr>
          <w:rFonts w:ascii="Georgia" w:hAnsi="Georgia" w:cs="Tahoma"/>
          <w:sz w:val="20"/>
          <w:szCs w:val="20"/>
          <w:lang w:val="sr-Latn-BA" w:eastAsia="sr-Cyrl-CS"/>
        </w:rPr>
      </w:pPr>
    </w:p>
    <w:p w14:paraId="7D5AA868" w14:textId="77777777" w:rsidR="007116F8" w:rsidRPr="00530C4A" w:rsidRDefault="007116F8" w:rsidP="007116F8">
      <w:pPr>
        <w:rPr>
          <w:rFonts w:ascii="Georgia" w:hAnsi="Georgia" w:cs="Tahoma"/>
          <w:sz w:val="20"/>
          <w:szCs w:val="20"/>
          <w:lang w:val="sr-Latn-BA" w:eastAsia="sr-Cyrl-CS"/>
        </w:rPr>
      </w:pPr>
    </w:p>
    <w:p w14:paraId="19FB97B1" w14:textId="77777777" w:rsidR="007116F8" w:rsidRPr="00530C4A" w:rsidRDefault="007116F8" w:rsidP="007116F8">
      <w:pPr>
        <w:rPr>
          <w:rFonts w:ascii="Georgia" w:hAnsi="Georgia" w:cs="Tahoma"/>
          <w:sz w:val="20"/>
          <w:szCs w:val="20"/>
          <w:lang w:val="sr-Latn-BA" w:eastAsia="sr-Cyrl-CS"/>
        </w:rPr>
      </w:pPr>
    </w:p>
    <w:p w14:paraId="5689C67D" w14:textId="77777777" w:rsidR="00D36F74" w:rsidRPr="00530C4A" w:rsidRDefault="00D36F74" w:rsidP="007116F8">
      <w:pPr>
        <w:rPr>
          <w:rFonts w:ascii="Georgia" w:hAnsi="Georgia" w:cs="Tahoma"/>
          <w:sz w:val="20"/>
          <w:szCs w:val="20"/>
          <w:lang w:val="sr-Latn-BA" w:eastAsia="sr-Cyrl-CS"/>
        </w:rPr>
      </w:pPr>
    </w:p>
    <w:p w14:paraId="7E909DFF" w14:textId="77777777" w:rsidR="00D36F74" w:rsidRPr="00530C4A" w:rsidRDefault="00D36F74" w:rsidP="007116F8">
      <w:pPr>
        <w:rPr>
          <w:rFonts w:ascii="Georgia" w:hAnsi="Georgia" w:cs="Tahoma"/>
          <w:sz w:val="20"/>
          <w:szCs w:val="20"/>
          <w:lang w:val="sr-Latn-BA" w:eastAsia="sr-Cyrl-CS"/>
        </w:rPr>
      </w:pPr>
    </w:p>
    <w:p w14:paraId="0D0A31C2" w14:textId="77777777" w:rsidR="00D36F74" w:rsidRPr="00530C4A" w:rsidRDefault="00D36F74" w:rsidP="007116F8">
      <w:pPr>
        <w:rPr>
          <w:rFonts w:ascii="Georgia" w:hAnsi="Georgia" w:cs="Tahoma"/>
          <w:sz w:val="20"/>
          <w:szCs w:val="20"/>
          <w:lang w:val="sr-Latn-BA" w:eastAsia="sr-Cyrl-CS"/>
        </w:rPr>
      </w:pPr>
    </w:p>
    <w:p w14:paraId="63F72928" w14:textId="77777777" w:rsidR="007116F8" w:rsidRPr="00530C4A" w:rsidRDefault="007116F8" w:rsidP="007116F8">
      <w:pPr>
        <w:rPr>
          <w:rFonts w:ascii="Georgia" w:hAnsi="Georgia" w:cs="Tahoma"/>
          <w:sz w:val="20"/>
          <w:szCs w:val="20"/>
          <w:lang w:val="sr-Latn-BA" w:eastAsia="sr-Cyrl-CS"/>
        </w:rPr>
      </w:pPr>
    </w:p>
    <w:p w14:paraId="0F45E6EC" w14:textId="77777777" w:rsidR="00D36F74" w:rsidRPr="00530C4A" w:rsidRDefault="00D36F74" w:rsidP="007116F8">
      <w:pPr>
        <w:rPr>
          <w:rFonts w:ascii="Georgia" w:hAnsi="Georgia" w:cs="Tahoma"/>
          <w:sz w:val="20"/>
          <w:szCs w:val="20"/>
          <w:lang w:val="sr-Latn-BA" w:eastAsia="sr-Cyrl-CS"/>
        </w:rPr>
      </w:pPr>
    </w:p>
    <w:p w14:paraId="07B8994B" w14:textId="77777777" w:rsidR="00D36F74" w:rsidRPr="00530C4A" w:rsidRDefault="00D36F74" w:rsidP="007116F8">
      <w:pPr>
        <w:rPr>
          <w:rFonts w:ascii="Georgia" w:hAnsi="Georgia" w:cs="Tahoma"/>
          <w:sz w:val="20"/>
          <w:szCs w:val="20"/>
          <w:lang w:val="sr-Latn-BA" w:eastAsia="sr-Cyrl-CS"/>
        </w:rPr>
      </w:pPr>
    </w:p>
    <w:p w14:paraId="4FDD9681" w14:textId="77777777" w:rsidR="00D36F74" w:rsidRPr="00530C4A" w:rsidRDefault="00D36F74" w:rsidP="007116F8">
      <w:pPr>
        <w:rPr>
          <w:rFonts w:ascii="Georgia" w:hAnsi="Georgia" w:cs="Tahoma"/>
          <w:sz w:val="20"/>
          <w:szCs w:val="20"/>
          <w:lang w:val="sr-Latn-BA" w:eastAsia="sr-Cyrl-CS"/>
        </w:rPr>
      </w:pPr>
    </w:p>
    <w:p w14:paraId="1BF2C4CA" w14:textId="77777777" w:rsidR="007116F8" w:rsidRPr="00530C4A" w:rsidRDefault="007116F8" w:rsidP="007116F8">
      <w:pPr>
        <w:rPr>
          <w:rFonts w:ascii="Georgia" w:hAnsi="Georgia" w:cs="Tahoma"/>
          <w:sz w:val="20"/>
          <w:szCs w:val="20"/>
          <w:lang w:val="sr-Latn-BA" w:eastAsia="sr-Cyrl-CS"/>
        </w:rPr>
      </w:pPr>
    </w:p>
    <w:p w14:paraId="68132E96" w14:textId="77777777" w:rsidR="007116F8" w:rsidRPr="00530C4A" w:rsidRDefault="007116F8" w:rsidP="007116F8">
      <w:pPr>
        <w:rPr>
          <w:rFonts w:ascii="Georgia" w:hAnsi="Georgia" w:cs="Tahoma"/>
          <w:b/>
          <w:sz w:val="20"/>
          <w:szCs w:val="20"/>
          <w:lang w:val="sr-Latn-BA" w:eastAsia="sr-Cyrl-CS"/>
        </w:rPr>
      </w:pPr>
      <w:r w:rsidRPr="00530C4A">
        <w:rPr>
          <w:rFonts w:ascii="Georgia" w:hAnsi="Georgia" w:cs="Tahoma"/>
          <w:b/>
          <w:sz w:val="20"/>
          <w:szCs w:val="20"/>
          <w:lang w:val="sr-Latn-BA" w:eastAsia="sr-Cyrl-CS"/>
        </w:rPr>
        <w:lastRenderedPageBreak/>
        <w:t>LITERATURA:</w:t>
      </w:r>
    </w:p>
    <w:p w14:paraId="6B90E0D4"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[1] Vujanić M. Definisanje metodologije izrade vremensko-prostorne analize saobraćajne nezgode tipa pješak-automobil sa posebnim osvrtom na nezgode ovog tipa u uslovima slobodnog i normalnog toka u zoni stajališta JMP, magistarski rad, 1983.g.</w:t>
      </w:r>
    </w:p>
    <w:p w14:paraId="300E0C45"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[2] Vujanić M. i drugi Priručnik za saobraćajno tehničko vještačenje i procjenu štete na vozilima, Banja Luka, 1998. g.</w:t>
      </w:r>
    </w:p>
    <w:p w14:paraId="25F9723C"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[3] Vujanić, M. i Lipovac, K.: '' Sistem kazni vozača'', Sistem obuke vozača, Zbornik radova,</w:t>
      </w:r>
    </w:p>
    <w:p w14:paraId="6DA01FFE"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[4] Vragović, D. ''Razgraničenje instituta doprinosa oštećenika vlastitoj šteti i podijeljene odgovornosti za štetu'' ORCID ID:orcid.org 0000-0002-3025-068</w:t>
      </w:r>
    </w:p>
    <w:p w14:paraId="32F835F5"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[5] Zakon o osnovama bezbjednosti saobraćaja na putevima BiH, 2007. g.</w:t>
      </w:r>
    </w:p>
    <w:p w14:paraId="773AB405"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[6] Komentar zakona o obligacionim odnosima (član 158), dr Boris Vizner, Zagreb 1978.</w:t>
      </w:r>
    </w:p>
    <w:p w14:paraId="2219109D"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[7] Sudar vozila i pješaka – nastanak opasne situacije, Jovičić V.; Đurić T.; Ristikić Z.; Zbornik radova, Simopozijum Banja Luka 2018.</w:t>
      </w:r>
    </w:p>
    <w:p w14:paraId="369F26FC"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[8] Vujanić M. Definisanje metodologije izrade vremensko-prostorne analize saobraćajne nezgode tipa pješak-automobil sa posebnim osvrtom na nezgode ovog tipa u uslovima slobodnog i normalnog toka u zoni stajališta JMP, magistarski rad, 1983.g.</w:t>
      </w:r>
    </w:p>
    <w:p w14:paraId="12A7641F"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[9] Mišljenje vještaka  u saobraćajnim nezgodama tipa vozilo-pješak, Drašković D.;  Vujanić M.; Stanišić D., XVII Simpozijum ''Vještačenje saobraćajnih nezgoda i prevare u osiguranju'' Banja Luka 2018.</w:t>
      </w:r>
    </w:p>
    <w:p w14:paraId="3AB8B32F" w14:textId="77777777" w:rsidR="007116F8" w:rsidRPr="00530C4A" w:rsidRDefault="007116F8" w:rsidP="007116F8">
      <w:pPr>
        <w:rPr>
          <w:rFonts w:ascii="Georgia" w:hAnsi="Georgia" w:cs="Tahoma"/>
          <w:sz w:val="20"/>
          <w:szCs w:val="20"/>
          <w:lang w:val="sr-Latn-BA"/>
        </w:rPr>
      </w:pPr>
      <w:r w:rsidRPr="00530C4A">
        <w:rPr>
          <w:rFonts w:ascii="Georgia" w:hAnsi="Georgia" w:cs="Tahoma"/>
          <w:sz w:val="20"/>
          <w:szCs w:val="20"/>
          <w:lang w:val="sr-Latn-BA"/>
        </w:rPr>
        <w:t>[10]  Načelo uzajamnog poverenja u saobraćaju, sa posebnim osvrtom na odnos vozača i pešaka prilikom prelaženja kolovoza, Milan Vujanić; Damir Okanović, Slobodan Malešić, XIX Simpozijum ''Veštačenje saobraćajnih nezgoda i prevare u osiguranju'' Divčibare 2020.</w:t>
      </w:r>
    </w:p>
    <w:sectPr w:rsidR="007116F8" w:rsidRPr="00530C4A" w:rsidSect="002F4F8D">
      <w:headerReference w:type="even" r:id="rId8"/>
      <w:headerReference w:type="first" r:id="rId9"/>
      <w:pgSz w:w="11907" w:h="16840" w:code="9"/>
      <w:pgMar w:top="1701" w:right="1134" w:bottom="1134" w:left="1985" w:header="1191"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11A4" w14:textId="77777777" w:rsidR="00347D3E" w:rsidRDefault="00347D3E">
      <w:r>
        <w:separator/>
      </w:r>
    </w:p>
  </w:endnote>
  <w:endnote w:type="continuationSeparator" w:id="0">
    <w:p w14:paraId="0C4F344A" w14:textId="77777777" w:rsidR="00347D3E" w:rsidRDefault="0034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embedRegular r:id="rId1" w:fontKey="{054AB71C-8CE8-4F27-90C7-B139C1ADEA04}"/>
    <w:embedBold r:id="rId2" w:fontKey="{F1F3EDDE-B085-4463-9C78-A25CB9404F8E}"/>
  </w:font>
  <w:font w:name="Arial Unicode MS">
    <w:panose1 w:val="020B0604020202020204"/>
    <w:charset w:val="80"/>
    <w:family w:val="swiss"/>
    <w:pitch w:val="variable"/>
    <w:sig w:usb0="F7FFAFFF" w:usb1="E9DFFFFF" w:usb2="0000003F" w:usb3="00000000" w:csb0="003F01FF" w:csb1="00000000"/>
  </w:font>
  <w:font w:name="81qbholgdpfugch">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embedBold r:id="rId3" w:subsetted="1" w:fontKey="{6B98B720-D675-4867-ABBB-78CA78B1CF23}"/>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4" w:fontKey="{41950D7A-DCAF-4412-95FD-6CBF9ECBB8C8}"/>
    <w:embedBold r:id="rId5" w:fontKey="{1826A0AA-EB8C-4ABD-8FA8-BD54939D9F6B}"/>
    <w:embedItalic r:id="rId6" w:fontKey="{1D7055F5-8A4E-4D03-B9D6-88B0EC76309B}"/>
  </w:font>
  <w:font w:name="Cambria Math">
    <w:panose1 w:val="02040503050406030204"/>
    <w:charset w:val="EE"/>
    <w:family w:val="roman"/>
    <w:pitch w:val="variable"/>
    <w:sig w:usb0="E00006FF" w:usb1="420024FF" w:usb2="02000000" w:usb3="00000000" w:csb0="0000019F" w:csb1="00000000"/>
    <w:embedItalic r:id="rId7" w:fontKey="{7DB53C8A-4D4F-46F1-BC23-C315361795AD}"/>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47491" w14:textId="77777777" w:rsidR="00347D3E" w:rsidRDefault="00347D3E" w:rsidP="00C01EBF">
      <w:pPr>
        <w:spacing w:after="0"/>
      </w:pPr>
      <w:r>
        <w:separator/>
      </w:r>
    </w:p>
  </w:footnote>
  <w:footnote w:type="continuationSeparator" w:id="0">
    <w:p w14:paraId="78E38633" w14:textId="77777777" w:rsidR="00347D3E" w:rsidRDefault="00347D3E">
      <w:r>
        <w:continuationSeparator/>
      </w:r>
    </w:p>
  </w:footnote>
  <w:footnote w:id="1">
    <w:p w14:paraId="0F3DDD90" w14:textId="2CED60DB" w:rsidR="007116F8" w:rsidRPr="007116F8" w:rsidRDefault="007116F8">
      <w:pPr>
        <w:pStyle w:val="Tekstfusnote"/>
        <w:rPr>
          <w:lang w:val="bs-Latn-BA"/>
        </w:rPr>
      </w:pPr>
      <w:r>
        <w:rPr>
          <w:rStyle w:val="Referencafusnote"/>
        </w:rPr>
        <w:footnoteRef/>
      </w:r>
      <w:r>
        <w:t xml:space="preserve"> </w:t>
      </w:r>
      <w:r w:rsidRPr="007116F8">
        <w:t>Panevropski Univerzitet Apeiron, Saobraćajni fakultet Banja Luka;</w:t>
      </w:r>
    </w:p>
  </w:footnote>
  <w:footnote w:id="2">
    <w:p w14:paraId="68895766" w14:textId="59F14E5B" w:rsidR="007116F8" w:rsidRPr="007116F8" w:rsidRDefault="007116F8">
      <w:pPr>
        <w:pStyle w:val="Tekstfusnote"/>
        <w:rPr>
          <w:lang w:val="bs-Latn-BA"/>
        </w:rPr>
      </w:pPr>
      <w:r>
        <w:rPr>
          <w:rStyle w:val="Referencafusnote"/>
        </w:rPr>
        <w:footnoteRef/>
      </w:r>
      <w:r>
        <w:t xml:space="preserve"> </w:t>
      </w:r>
      <w:r w:rsidRPr="007116F8">
        <w:t>Fakultet za saobraćaj, komunikacije i logistiku, Budva;</w:t>
      </w:r>
    </w:p>
  </w:footnote>
  <w:footnote w:id="3">
    <w:p w14:paraId="038B34EF" w14:textId="665A0DDF" w:rsidR="007116F8" w:rsidRPr="007116F8" w:rsidRDefault="007116F8">
      <w:pPr>
        <w:pStyle w:val="Tekstfusnote"/>
        <w:rPr>
          <w:lang w:val="bs-Latn-BA"/>
        </w:rPr>
      </w:pPr>
      <w:r>
        <w:rPr>
          <w:rStyle w:val="Referencafusnote"/>
        </w:rPr>
        <w:footnoteRef/>
      </w:r>
      <w:r>
        <w:t xml:space="preserve"> </w:t>
      </w:r>
      <w:r w:rsidRPr="007116F8">
        <w:t>Advokatska kancelarija Dragan Stanišić, Banja Luka;</w:t>
      </w:r>
    </w:p>
  </w:footnote>
  <w:footnote w:id="4">
    <w:p w14:paraId="4DD911E6" w14:textId="77777777" w:rsidR="007116F8" w:rsidRPr="00307746" w:rsidRDefault="007116F8" w:rsidP="007116F8">
      <w:pPr>
        <w:pStyle w:val="Tekstfusnote"/>
        <w:ind w:firstLine="0"/>
        <w:rPr>
          <w:rFonts w:ascii="Times New Roman" w:hAnsi="Times New Roman" w:cs="Times New Roman"/>
          <w:lang w:val="bs-Latn-BA"/>
        </w:rPr>
      </w:pPr>
      <w:r w:rsidRPr="00307746">
        <w:rPr>
          <w:rStyle w:val="Referencafusnote"/>
          <w:rFonts w:ascii="Times New Roman" w:hAnsi="Times New Roman" w:cs="Times New Roman"/>
        </w:rPr>
        <w:footnoteRef/>
      </w:r>
      <w:r w:rsidRPr="00307746">
        <w:rPr>
          <w:rFonts w:ascii="Times New Roman" w:hAnsi="Times New Roman" w:cs="Times New Roman"/>
        </w:rPr>
        <w:t xml:space="preserve"> Vragović, D. ''Razgraničenje instituta doprinosa oštećenika vlastitoj šteti i podijeljene odgovornosti za štetu'' ORCID ID:orcid.org 0000-0002-3025-068;</w:t>
      </w:r>
    </w:p>
  </w:footnote>
  <w:footnote w:id="5">
    <w:p w14:paraId="1B9095DA" w14:textId="77777777" w:rsidR="007116F8" w:rsidRPr="00307746" w:rsidRDefault="007116F8" w:rsidP="007116F8">
      <w:pPr>
        <w:pStyle w:val="Tekstfusnote"/>
        <w:ind w:firstLine="0"/>
        <w:rPr>
          <w:rFonts w:ascii="Times New Roman" w:hAnsi="Times New Roman" w:cs="Times New Roman"/>
          <w:lang w:val="bs-Latn-BA"/>
        </w:rPr>
      </w:pPr>
      <w:r>
        <w:rPr>
          <w:rStyle w:val="Referencafusnote"/>
        </w:rPr>
        <w:footnoteRef/>
      </w:r>
      <w:r>
        <w:t xml:space="preserve"> </w:t>
      </w:r>
      <w:r w:rsidRPr="00307746">
        <w:rPr>
          <w:rFonts w:ascii="Times New Roman" w:hAnsi="Times New Roman" w:cs="Times New Roman"/>
          <w:lang w:val="bs-Latn-BA"/>
        </w:rPr>
        <w:t>Komentar zakona o obligacionim odnosima (član 158), dr Boris Vizner, Zagreb 1978.</w:t>
      </w:r>
    </w:p>
  </w:footnote>
  <w:footnote w:id="6">
    <w:p w14:paraId="14D188E4" w14:textId="77777777" w:rsidR="007116F8" w:rsidRPr="00307746" w:rsidRDefault="007116F8" w:rsidP="007116F8">
      <w:pPr>
        <w:pStyle w:val="Tekstfusnote"/>
        <w:ind w:firstLine="0"/>
        <w:rPr>
          <w:lang w:val="sr-Latn-BA"/>
        </w:rPr>
      </w:pPr>
      <w:r w:rsidRPr="00307746">
        <w:rPr>
          <w:rStyle w:val="Referencafusnote"/>
          <w:rFonts w:ascii="Times New Roman" w:hAnsi="Times New Roman" w:cs="Times New Roman"/>
        </w:rPr>
        <w:footnoteRef/>
      </w:r>
      <w:r w:rsidRPr="00307746">
        <w:rPr>
          <w:rFonts w:ascii="Times New Roman" w:hAnsi="Times New Roman" w:cs="Times New Roman"/>
        </w:rPr>
        <w:t xml:space="preserve"> Načelo povjerenja zasniva se na očekivanju da svaki učesnik u saobraćaju računa na svijest i disciplinu drugih učesnika. Pridržavajući se pravila i obaveza, svaki učesnik u saobraćaju opravdano treba da računa na to da će i svi drugi učesnici u saobraćaju poštovati propisana pravila i bezbjedno se ponašati.</w:t>
      </w:r>
    </w:p>
  </w:footnote>
  <w:footnote w:id="7">
    <w:p w14:paraId="457D4B40" w14:textId="77777777" w:rsidR="007116F8" w:rsidRPr="00307746" w:rsidRDefault="007116F8" w:rsidP="007116F8">
      <w:pPr>
        <w:pStyle w:val="Tekstfusnote"/>
        <w:ind w:firstLine="0"/>
        <w:rPr>
          <w:rFonts w:ascii="Times New Roman" w:hAnsi="Times New Roman" w:cs="Times New Roman"/>
          <w:lang w:val="bs-Latn-BA"/>
        </w:rPr>
      </w:pPr>
      <w:r>
        <w:rPr>
          <w:rStyle w:val="Referencafusnote"/>
        </w:rPr>
        <w:footnoteRef/>
      </w:r>
      <w:r>
        <w:t xml:space="preserve"> </w:t>
      </w:r>
      <w:r w:rsidRPr="00307746">
        <w:rPr>
          <w:rFonts w:ascii="Times New Roman" w:hAnsi="Times New Roman" w:cs="Times New Roman"/>
          <w:lang w:val="bs-Latn-BA"/>
        </w:rPr>
        <w:t>Opširnije: Saobraćajno vještačenje kao dokazno sredstvo, pravna i tehnička pitanja, , D. Stanišić; D. Šukurma;</w:t>
      </w:r>
    </w:p>
  </w:footnote>
  <w:footnote w:id="8">
    <w:p w14:paraId="72BCA778" w14:textId="77777777" w:rsidR="007116F8" w:rsidRPr="00307746" w:rsidRDefault="007116F8" w:rsidP="007116F8">
      <w:pPr>
        <w:pStyle w:val="Tekstfusnote"/>
        <w:ind w:firstLine="0"/>
        <w:rPr>
          <w:lang w:val="bs-Latn-BA"/>
        </w:rPr>
      </w:pPr>
      <w:r w:rsidRPr="00307746">
        <w:rPr>
          <w:rStyle w:val="Referencafusnote"/>
          <w:rFonts w:ascii="Times New Roman" w:hAnsi="Times New Roman" w:cs="Times New Roman"/>
        </w:rPr>
        <w:footnoteRef/>
      </w:r>
      <w:r w:rsidRPr="00307746">
        <w:rPr>
          <w:rFonts w:ascii="Times New Roman" w:hAnsi="Times New Roman" w:cs="Times New Roman"/>
        </w:rPr>
        <w:t xml:space="preserve"> </w:t>
      </w:r>
      <w:r w:rsidRPr="00307746">
        <w:rPr>
          <w:rFonts w:ascii="Times New Roman" w:hAnsi="Times New Roman" w:cs="Times New Roman"/>
          <w:b/>
        </w:rPr>
        <w:t>“Svaka situacija u saobraćaju, u kojoj postoji mogućnost da se putanje učesnika sijeku u istom trenutku, ili u kojoj bi nepromijenjenim načinom kretanja jednog od učesnika moglo doći do nezgode, je opasna situacija”</w:t>
      </w:r>
      <w:r w:rsidRPr="00307746">
        <w:rPr>
          <w:rFonts w:ascii="Times New Roman" w:hAnsi="Times New Roman" w:cs="Times New Roman"/>
        </w:rPr>
        <w:t xml:space="preserve"> - Vujanić M.: Definisanje metodologije izrade vremensko-prostorne analize saobraćajne nezgode tipa pešak-automobil sa posebnim osvrtom na nezgode ovog tipa u uslovima slobodnog i normalnog toka u zoni stajališta JMP-a, magistarski rad, Univerzitet u Beogradu, Saobraćajni fakultet, Beograd, 1983</w:t>
      </w:r>
      <w:r w:rsidRPr="00307746">
        <w:t>.</w:t>
      </w:r>
    </w:p>
  </w:footnote>
  <w:footnote w:id="9">
    <w:p w14:paraId="4A71A2E6" w14:textId="77777777" w:rsidR="007116F8" w:rsidRPr="00456A66" w:rsidRDefault="007116F8" w:rsidP="007116F8">
      <w:pPr>
        <w:pStyle w:val="Tekstfusnote"/>
        <w:ind w:firstLine="0"/>
        <w:rPr>
          <w:rFonts w:ascii="Times New Roman" w:hAnsi="Times New Roman" w:cs="Times New Roman"/>
          <w:lang w:val="bs-Latn-BA"/>
        </w:rPr>
      </w:pPr>
      <w:r w:rsidRPr="00307746">
        <w:rPr>
          <w:rStyle w:val="Referencafusnote"/>
          <w:rFonts w:ascii="Times New Roman" w:hAnsi="Times New Roman" w:cs="Times New Roman"/>
        </w:rPr>
        <w:footnoteRef/>
      </w:r>
      <w:r w:rsidRPr="00307746">
        <w:rPr>
          <w:rFonts w:ascii="Times New Roman" w:hAnsi="Times New Roman" w:cs="Times New Roman"/>
        </w:rPr>
        <w:t xml:space="preserve"> ZoOBS BiH član 9. Stav tačka 54) propuštanje vozila je radnja koju je u određenim slučajevima vozač dužan izvršiti zaustavlјanjem vozila, smanjivanjem brzine kretanja ili prekidanjem radnje koju izvodi vozilom, i to na način koji ne primorava vozača drugog vozila da naglo mijenja pravac ili brzinu kretanja;</w:t>
      </w:r>
    </w:p>
  </w:footnote>
  <w:footnote w:id="10">
    <w:p w14:paraId="04833896" w14:textId="77777777" w:rsidR="007116F8" w:rsidRPr="006107E2" w:rsidRDefault="007116F8" w:rsidP="007116F8">
      <w:pPr>
        <w:pStyle w:val="Tekstfusnote"/>
        <w:ind w:firstLine="0"/>
        <w:rPr>
          <w:rFonts w:ascii="Times New Roman" w:hAnsi="Times New Roman" w:cs="Times New Roman"/>
          <w:lang w:val="bs-Latn-BA"/>
        </w:rPr>
      </w:pPr>
      <w:r w:rsidRPr="00456A66">
        <w:rPr>
          <w:rStyle w:val="Referencafusnote"/>
          <w:rFonts w:ascii="Times New Roman" w:hAnsi="Times New Roman" w:cs="Times New Roman"/>
        </w:rPr>
        <w:footnoteRef/>
      </w:r>
      <w:r w:rsidRPr="00456A66">
        <w:rPr>
          <w:rFonts w:ascii="Times New Roman" w:hAnsi="Times New Roman" w:cs="Times New Roman"/>
        </w:rPr>
        <w:t xml:space="preserve"> </w:t>
      </w:r>
      <w:r w:rsidRPr="006107E2">
        <w:rPr>
          <w:rFonts w:ascii="Times New Roman" w:hAnsi="Times New Roman" w:cs="Times New Roman"/>
          <w:lang w:val="bs-Latn-BA"/>
        </w:rPr>
        <w:t>Član 177. stav (4) Ako je nastanku štete djelimi</w:t>
      </w:r>
      <w:r>
        <w:rPr>
          <w:rFonts w:ascii="Times New Roman" w:hAnsi="Times New Roman" w:cs="Times New Roman"/>
          <w:lang w:val="bs-Latn-BA"/>
        </w:rPr>
        <w:t>č</w:t>
      </w:r>
      <w:r w:rsidRPr="006107E2">
        <w:rPr>
          <w:rFonts w:ascii="Times New Roman" w:hAnsi="Times New Roman" w:cs="Times New Roman"/>
          <w:lang w:val="bs-Latn-BA"/>
        </w:rPr>
        <w:t>no doprinijelo tre</w:t>
      </w:r>
      <w:r>
        <w:rPr>
          <w:rFonts w:ascii="Times New Roman" w:hAnsi="Times New Roman" w:cs="Times New Roman"/>
          <w:lang w:val="bs-Latn-BA"/>
        </w:rPr>
        <w:t>ć</w:t>
      </w:r>
      <w:r w:rsidRPr="006107E2">
        <w:rPr>
          <w:rFonts w:ascii="Times New Roman" w:hAnsi="Times New Roman" w:cs="Times New Roman"/>
          <w:lang w:val="bs-Latn-BA"/>
        </w:rPr>
        <w:t>e lice, ono odgovara ošte</w:t>
      </w:r>
      <w:r>
        <w:rPr>
          <w:rFonts w:ascii="Times New Roman" w:hAnsi="Times New Roman" w:cs="Times New Roman"/>
          <w:lang w:val="bs-Latn-BA"/>
        </w:rPr>
        <w:t>ć</w:t>
      </w:r>
      <w:r w:rsidRPr="006107E2">
        <w:rPr>
          <w:rFonts w:ascii="Times New Roman" w:hAnsi="Times New Roman" w:cs="Times New Roman"/>
          <w:lang w:val="bs-Latn-BA"/>
        </w:rPr>
        <w:t>eniku solidarno sa imaocem stvari, a dužno je snositi naknadu srazmjerno te</w:t>
      </w:r>
      <w:r>
        <w:rPr>
          <w:rFonts w:ascii="Times New Roman" w:hAnsi="Times New Roman" w:cs="Times New Roman"/>
          <w:lang w:val="bs-Latn-BA"/>
        </w:rPr>
        <w:t>ž</w:t>
      </w:r>
      <w:r w:rsidRPr="006107E2">
        <w:rPr>
          <w:rFonts w:ascii="Times New Roman" w:hAnsi="Times New Roman" w:cs="Times New Roman"/>
          <w:lang w:val="bs-Latn-BA"/>
        </w:rPr>
        <w:t>ini svoje krivice.</w:t>
      </w:r>
    </w:p>
  </w:footnote>
  <w:footnote w:id="11">
    <w:p w14:paraId="391E7C9A" w14:textId="77777777" w:rsidR="007116F8" w:rsidRPr="006107E2" w:rsidRDefault="007116F8" w:rsidP="007116F8">
      <w:pPr>
        <w:pStyle w:val="Tekstfusnote"/>
        <w:ind w:firstLine="0"/>
        <w:rPr>
          <w:lang w:val="bs-Latn-BA"/>
        </w:rPr>
      </w:pPr>
      <w:r w:rsidRPr="006107E2">
        <w:rPr>
          <w:rStyle w:val="Referencafusnote"/>
          <w:rFonts w:ascii="Times New Roman" w:hAnsi="Times New Roman" w:cs="Times New Roman"/>
        </w:rPr>
        <w:footnoteRef/>
      </w:r>
      <w:r w:rsidRPr="006107E2">
        <w:rPr>
          <w:rFonts w:ascii="Times New Roman" w:hAnsi="Times New Roman" w:cs="Times New Roman"/>
        </w:rPr>
        <w:t xml:space="preserve"> (4) Za štetu koju pretrpe treća lica imaoci motornih vozila odgovaraju solidarno.</w:t>
      </w:r>
    </w:p>
  </w:footnote>
  <w:footnote w:id="12">
    <w:p w14:paraId="619EFCEE" w14:textId="77777777" w:rsidR="007116F8" w:rsidRPr="006107E2" w:rsidRDefault="007116F8" w:rsidP="007116F8">
      <w:pPr>
        <w:pStyle w:val="Tekstfusnote"/>
        <w:ind w:firstLine="0"/>
        <w:rPr>
          <w:rFonts w:ascii="Times New Roman" w:hAnsi="Times New Roman" w:cs="Times New Roman"/>
          <w:lang w:val="bs-Latn-BA"/>
        </w:rPr>
      </w:pPr>
      <w:r w:rsidRPr="006107E2">
        <w:rPr>
          <w:rStyle w:val="Referencafusnote"/>
          <w:rFonts w:ascii="Times New Roman" w:hAnsi="Times New Roman" w:cs="Times New Roman"/>
        </w:rPr>
        <w:footnoteRef/>
      </w:r>
      <w:r w:rsidRPr="006107E2">
        <w:rPr>
          <w:rFonts w:ascii="Times New Roman" w:hAnsi="Times New Roman" w:cs="Times New Roman"/>
        </w:rPr>
        <w:t xml:space="preserve"> </w:t>
      </w:r>
      <w:r w:rsidRPr="006107E2">
        <w:rPr>
          <w:rFonts w:ascii="Times New Roman" w:hAnsi="Times New Roman" w:cs="Times New Roman"/>
          <w:lang w:val="bs-Latn-BA"/>
        </w:rPr>
        <w:t>Nedopuštenost radnje je širi pojam od pojma protivpravnosti pa se shodno tome primjenjuje u određivanju krivice kod građanskih delikata. (Prim. aut.)</w:t>
      </w:r>
    </w:p>
  </w:footnote>
  <w:footnote w:id="13">
    <w:p w14:paraId="2B5A2043" w14:textId="77777777" w:rsidR="007116F8" w:rsidRPr="00456A66" w:rsidRDefault="007116F8" w:rsidP="007116F8">
      <w:pPr>
        <w:pStyle w:val="Tekstfusnote"/>
        <w:ind w:firstLine="0"/>
        <w:rPr>
          <w:rFonts w:ascii="Times New Roman" w:hAnsi="Times New Roman" w:cs="Times New Roman"/>
          <w:lang w:val="bs-Latn-BA"/>
        </w:rPr>
      </w:pPr>
      <w:r w:rsidRPr="00456A66">
        <w:rPr>
          <w:rStyle w:val="Referencafusnote"/>
          <w:rFonts w:ascii="Times New Roman" w:hAnsi="Times New Roman" w:cs="Times New Roman"/>
        </w:rPr>
        <w:footnoteRef/>
      </w:r>
      <w:r w:rsidRPr="00456A66">
        <w:rPr>
          <w:rFonts w:ascii="Times New Roman" w:hAnsi="Times New Roman" w:cs="Times New Roman"/>
        </w:rPr>
        <w:t xml:space="preserve"> N</w:t>
      </w:r>
      <w:r>
        <w:rPr>
          <w:rFonts w:ascii="Times New Roman" w:hAnsi="Times New Roman" w:cs="Times New Roman"/>
        </w:rPr>
        <w:t xml:space="preserve">ačelo uzajamnog poverenja u saobraćaju, sa posebnim osvrtom na odnos vozača i pešaka prilikom prelaženja kolovoza, </w:t>
      </w:r>
      <w:r w:rsidRPr="00456A66">
        <w:rPr>
          <w:rFonts w:ascii="Times New Roman" w:hAnsi="Times New Roman" w:cs="Times New Roman"/>
        </w:rPr>
        <w:t>Milan Vujanić; Damir Okanović, Slobodan Malešić, XIX Simpozijum ''Veštačenje saobraćajnih nezgoda i prevare u osiguranju'' Divčibare 2020.</w:t>
      </w:r>
    </w:p>
  </w:footnote>
  <w:footnote w:id="14">
    <w:p w14:paraId="3B947019" w14:textId="77777777" w:rsidR="007116F8" w:rsidRPr="00456A66" w:rsidRDefault="007116F8" w:rsidP="007116F8">
      <w:pPr>
        <w:pStyle w:val="Tekstfusnote"/>
        <w:ind w:firstLine="0"/>
        <w:rPr>
          <w:rFonts w:ascii="Times New Roman" w:hAnsi="Times New Roman" w:cs="Times New Roman"/>
          <w:noProof/>
          <w:lang w:val="sr-Latn-BA"/>
        </w:rPr>
      </w:pPr>
      <w:r w:rsidRPr="00456A66">
        <w:rPr>
          <w:rStyle w:val="Referencafusnote"/>
          <w:rFonts w:ascii="Times New Roman" w:hAnsi="Times New Roman" w:cs="Times New Roman"/>
          <w:noProof/>
          <w:lang w:val="sr-Latn-BA"/>
        </w:rPr>
        <w:footnoteRef/>
      </w:r>
      <w:r w:rsidRPr="00456A66">
        <w:rPr>
          <w:rFonts w:ascii="Times New Roman" w:hAnsi="Times New Roman" w:cs="Times New Roman"/>
          <w:noProof/>
          <w:lang w:val="sr-Latn-BA"/>
        </w:rPr>
        <w:t xml:space="preserve"> Vujanić M. Definisanje metodologije izrade vremensko-prostorne analize saobraćajne nezgode tipa pješak-automobil sa posebnim osvrtom na nezgode ovog tipa u uslovima slobodnog i normalnog toka u zoni stajališta JMP, magistarski rad, 1983.g.</w:t>
      </w:r>
    </w:p>
  </w:footnote>
  <w:footnote w:id="15">
    <w:p w14:paraId="489D4D0B" w14:textId="77777777" w:rsidR="007116F8" w:rsidRPr="00E76D7C" w:rsidRDefault="007116F8" w:rsidP="007116F8">
      <w:pPr>
        <w:pStyle w:val="Tekstfusnote"/>
        <w:ind w:firstLine="0"/>
        <w:rPr>
          <w:rFonts w:ascii="Times New Roman" w:hAnsi="Times New Roman" w:cs="Times New Roman"/>
          <w:noProof/>
          <w:lang w:val="sr-Latn-BA"/>
        </w:rPr>
      </w:pPr>
      <w:r w:rsidRPr="00E76D7C">
        <w:rPr>
          <w:rStyle w:val="Referencafusnote"/>
          <w:rFonts w:ascii="Times New Roman" w:hAnsi="Times New Roman" w:cs="Times New Roman"/>
          <w:noProof/>
          <w:lang w:val="sr-Latn-BA"/>
        </w:rPr>
        <w:footnoteRef/>
      </w:r>
      <w:r>
        <w:rPr>
          <w:rFonts w:ascii="Times New Roman" w:hAnsi="Times New Roman" w:cs="Times New Roman"/>
          <w:noProof/>
          <w:lang w:val="sr-Latn-BA"/>
        </w:rPr>
        <w:t xml:space="preserve"> </w:t>
      </w:r>
      <w:r w:rsidRPr="00307746">
        <w:rPr>
          <w:rFonts w:ascii="Times New Roman" w:hAnsi="Times New Roman" w:cs="Times New Roman"/>
          <w:noProof/>
          <w:lang w:val="sr-Latn-BA"/>
        </w:rPr>
        <w:t>Vujanić M. i drugi Priručnik za saobraćajno tehničko vještačenje i procjenu štete na vozilima, B. Luka, 1998. g</w:t>
      </w:r>
      <w:r w:rsidRPr="00E76D7C">
        <w:rPr>
          <w:rFonts w:ascii="Times New Roman" w:hAnsi="Times New Roman" w:cs="Times New Roman"/>
          <w:noProof/>
          <w:lang w:val="sr-Latn-BA"/>
        </w:rPr>
        <w:t>.</w:t>
      </w:r>
    </w:p>
  </w:footnote>
  <w:footnote w:id="16">
    <w:p w14:paraId="55A1704B" w14:textId="77777777" w:rsidR="007116F8" w:rsidRPr="00307746" w:rsidRDefault="007116F8" w:rsidP="007116F8">
      <w:pPr>
        <w:pStyle w:val="Tekstfusnote"/>
        <w:ind w:firstLine="0"/>
        <w:rPr>
          <w:rFonts w:ascii="Times New Roman" w:hAnsi="Times New Roman" w:cs="Times New Roman"/>
          <w:noProof/>
          <w:lang w:val="sr-Latn-BA"/>
        </w:rPr>
      </w:pPr>
      <w:r w:rsidRPr="00E76D7C">
        <w:rPr>
          <w:rStyle w:val="Referencafusnote"/>
          <w:rFonts w:ascii="Times New Roman" w:hAnsi="Times New Roman" w:cs="Times New Roman"/>
          <w:noProof/>
          <w:lang w:val="sr-Latn-BA"/>
        </w:rPr>
        <w:footnoteRef/>
      </w:r>
      <w:r>
        <w:rPr>
          <w:rFonts w:ascii="Times New Roman" w:hAnsi="Times New Roman" w:cs="Times New Roman"/>
          <w:noProof/>
          <w:lang w:val="sr-Latn-BA"/>
        </w:rPr>
        <w:t xml:space="preserve"> </w:t>
      </w:r>
      <w:r w:rsidRPr="00307746">
        <w:rPr>
          <w:rFonts w:ascii="Times New Roman" w:hAnsi="Times New Roman" w:cs="Times New Roman"/>
          <w:noProof/>
          <w:lang w:val="sr-Latn-BA"/>
        </w:rPr>
        <w:t>Zakon o osnovama bezbjednosti saobraćaja na putevima BiH, 2007. g.</w:t>
      </w:r>
    </w:p>
  </w:footnote>
  <w:footnote w:id="17">
    <w:p w14:paraId="2D5DCA29" w14:textId="77777777" w:rsidR="007116F8" w:rsidRPr="00307746" w:rsidRDefault="007116F8" w:rsidP="007116F8">
      <w:pPr>
        <w:pStyle w:val="Tekstfusnote"/>
        <w:ind w:firstLine="0"/>
        <w:rPr>
          <w:rFonts w:ascii="Times New Roman" w:hAnsi="Times New Roman" w:cs="Times New Roman"/>
          <w:noProof/>
          <w:lang w:val="sr-Latn-BA"/>
        </w:rPr>
      </w:pPr>
      <w:r w:rsidRPr="00E76D7C">
        <w:rPr>
          <w:rStyle w:val="Referencafusnote"/>
          <w:rFonts w:ascii="Times New Roman" w:hAnsi="Times New Roman" w:cs="Times New Roman"/>
          <w:noProof/>
          <w:lang w:val="sr-Latn-BA"/>
        </w:rPr>
        <w:footnoteRef/>
      </w:r>
      <w:r>
        <w:rPr>
          <w:rFonts w:ascii="Times New Roman" w:hAnsi="Times New Roman" w:cs="Times New Roman"/>
          <w:noProof/>
          <w:lang w:val="sr-Latn-BA"/>
        </w:rPr>
        <w:t xml:space="preserve"> </w:t>
      </w:r>
      <w:r w:rsidRPr="00307746">
        <w:rPr>
          <w:rFonts w:ascii="Times New Roman" w:hAnsi="Times New Roman" w:cs="Times New Roman"/>
          <w:noProof/>
          <w:lang w:val="sr-Latn-BA"/>
        </w:rPr>
        <w:t>Zakon o osnovama bezbjednosti saobraćaja na putevima BiH, 2007. g.</w:t>
      </w:r>
    </w:p>
  </w:footnote>
  <w:footnote w:id="18">
    <w:p w14:paraId="0221435E" w14:textId="77777777" w:rsidR="007116F8" w:rsidRPr="00307746" w:rsidRDefault="007116F8" w:rsidP="007116F8">
      <w:pPr>
        <w:pStyle w:val="Tekstfusnote"/>
        <w:ind w:left="180" w:hanging="180"/>
        <w:rPr>
          <w:noProof/>
          <w:lang w:val="sr-Latn-BA"/>
        </w:rPr>
      </w:pPr>
      <w:r w:rsidRPr="00307746">
        <w:rPr>
          <w:rStyle w:val="Referencafusnote"/>
          <w:rFonts w:ascii="Times New Roman" w:hAnsi="Times New Roman" w:cs="Times New Roman"/>
          <w:noProof/>
          <w:lang w:val="sr-Latn-BA"/>
        </w:rPr>
        <w:footnoteRef/>
      </w:r>
      <w:r w:rsidRPr="00307746">
        <w:rPr>
          <w:rFonts w:ascii="Times New Roman" w:hAnsi="Times New Roman" w:cs="Times New Roman"/>
          <w:noProof/>
          <w:lang w:val="sr-Latn-BA"/>
        </w:rPr>
        <w:t xml:space="preserve"> Vujanić M. Definisanje metodologije izrade vremensko-prostorne analize saobraćajne nezgode tipa pješak-automobil sa posebnim osvrtom na nezgode ovog tipa u uslovima slobodnog i normalnog toka u zoni stajališta JMP, magistarski rad, 1983.g.</w:t>
      </w:r>
    </w:p>
  </w:footnote>
  <w:footnote w:id="19">
    <w:p w14:paraId="512210AA" w14:textId="77777777" w:rsidR="007116F8" w:rsidRPr="00307746" w:rsidRDefault="007116F8" w:rsidP="007116F8">
      <w:pPr>
        <w:pStyle w:val="Zaglavlje"/>
        <w:pBdr>
          <w:bottom w:val="single" w:sz="4" w:space="13" w:color="auto"/>
        </w:pBdr>
        <w:rPr>
          <w:sz w:val="16"/>
          <w:szCs w:val="16"/>
        </w:rPr>
      </w:pPr>
      <w:r>
        <w:rPr>
          <w:rStyle w:val="Referencafusnote"/>
        </w:rPr>
        <w:footnoteRef/>
      </w:r>
      <w:r>
        <w:t xml:space="preserve"> </w:t>
      </w:r>
      <w:r w:rsidRPr="00307746">
        <w:rPr>
          <w:sz w:val="16"/>
          <w:szCs w:val="16"/>
        </w:rPr>
        <w:t xml:space="preserve">Mišljenje vještaka u saobraćajnim nezgodama tipa vozilo – pješak,  </w:t>
      </w:r>
      <w:r w:rsidRPr="00307746">
        <w:rPr>
          <w:sz w:val="16"/>
          <w:szCs w:val="16"/>
          <w:lang w:val="sr-Latn-BA"/>
        </w:rPr>
        <w:t xml:space="preserve">Drašković D.;  Vujanić M.; Stanišić D., </w:t>
      </w:r>
      <w:r w:rsidRPr="00307746">
        <w:rPr>
          <w:sz w:val="16"/>
          <w:szCs w:val="16"/>
        </w:rPr>
        <w:t>XVII Simpozijum ''Vještačenje saobraćajnih nezgoda i prevare u osiguranju'' Banja Luka 2018.</w:t>
      </w:r>
    </w:p>
    <w:p w14:paraId="22E62759" w14:textId="77777777" w:rsidR="007116F8" w:rsidRPr="00307746" w:rsidRDefault="007116F8" w:rsidP="007116F8">
      <w:pPr>
        <w:pStyle w:val="Zaglavlje"/>
        <w:pBdr>
          <w:bottom w:val="single" w:sz="4" w:space="13" w:color="auto"/>
        </w:pBdr>
        <w:rPr>
          <w:sz w:val="16"/>
          <w:szCs w:val="16"/>
        </w:rPr>
      </w:pPr>
      <w:r w:rsidRPr="00307746">
        <w:rPr>
          <w:sz w:val="16"/>
          <w:szCs w:val="16"/>
        </w:rPr>
        <w:t>20  Vidi član 9. stav 1. tačka 15. član 108. i član 110. ZoOBS-a na putevima Bosne i Hercegovine.</w:t>
      </w:r>
    </w:p>
    <w:p w14:paraId="728046CA" w14:textId="77777777" w:rsidR="007116F8" w:rsidRPr="009D27F9" w:rsidRDefault="007116F8" w:rsidP="007116F8">
      <w:pPr>
        <w:pStyle w:val="Zaglavlje"/>
        <w:pBdr>
          <w:bottom w:val="single" w:sz="4" w:space="13" w:color="auto"/>
        </w:pBdr>
        <w:rPr>
          <w:rFonts w:ascii="Georgia" w:hAnsi="Georgia"/>
        </w:rPr>
      </w:pPr>
    </w:p>
  </w:footnote>
  <w:footnote w:id="20">
    <w:p w14:paraId="3E289BD5" w14:textId="77777777" w:rsidR="007116F8" w:rsidRPr="009D27F9" w:rsidRDefault="007116F8" w:rsidP="007116F8">
      <w:pPr>
        <w:pStyle w:val="Tekstfusnote"/>
        <w:rPr>
          <w:lang w:val="bs-Latn-BA"/>
        </w:rPr>
      </w:pPr>
      <w:r w:rsidRPr="009D27F9">
        <w:t>.</w:t>
      </w:r>
    </w:p>
  </w:footnote>
  <w:footnote w:id="21">
    <w:p w14:paraId="36EF1C50" w14:textId="77777777" w:rsidR="007116F8" w:rsidRPr="00307746" w:rsidRDefault="007116F8" w:rsidP="007116F8">
      <w:pPr>
        <w:pStyle w:val="Tekstfusnote"/>
        <w:ind w:firstLine="0"/>
        <w:rPr>
          <w:lang w:val="bs-Latn-BA"/>
        </w:rPr>
      </w:pPr>
      <w:r>
        <w:rPr>
          <w:rStyle w:val="Referencafusnote"/>
        </w:rPr>
        <w:footnoteRef/>
      </w:r>
      <w:r>
        <w:t xml:space="preserve"> </w:t>
      </w:r>
      <w:r w:rsidRPr="00307746">
        <w:rPr>
          <w:rFonts w:ascii="Times New Roman" w:hAnsi="Times New Roman" w:cs="Times New Roman"/>
        </w:rPr>
        <w:t>Sudar vozila i pješaka – nastanak opasne situacije, Jovičić V.; Đurić T.; Ristikić Z.; Zbornik radova, Simopozijum Banja Luka 2018.</w:t>
      </w:r>
    </w:p>
  </w:footnote>
  <w:footnote w:id="22">
    <w:p w14:paraId="0E1DEC0D" w14:textId="77777777" w:rsidR="007116F8" w:rsidRPr="00307746" w:rsidRDefault="007116F8" w:rsidP="007116F8">
      <w:pPr>
        <w:pStyle w:val="Tekstfusnote"/>
        <w:ind w:firstLine="0"/>
        <w:rPr>
          <w:rFonts w:ascii="Times New Roman" w:hAnsi="Times New Roman" w:cs="Times New Roman"/>
          <w:lang w:val="bs-Latn-BA"/>
        </w:rPr>
      </w:pPr>
      <w:r w:rsidRPr="00307746">
        <w:rPr>
          <w:rStyle w:val="Referencafusnote"/>
          <w:rFonts w:ascii="Times New Roman" w:hAnsi="Times New Roman" w:cs="Times New Roman"/>
        </w:rPr>
        <w:footnoteRef/>
      </w:r>
      <w:r w:rsidRPr="00307746">
        <w:rPr>
          <w:rFonts w:ascii="Times New Roman" w:hAnsi="Times New Roman" w:cs="Times New Roman"/>
        </w:rPr>
        <w:t xml:space="preserve"> P</w:t>
      </w:r>
      <w:r w:rsidRPr="00307746">
        <w:rPr>
          <w:rFonts w:ascii="Times New Roman" w:hAnsi="Times New Roman" w:cs="Times New Roman"/>
          <w:lang w:val="bs-Latn-BA"/>
        </w:rPr>
        <w:t>rior tempore potior jure (lat. raniji u vremenu, jači u pravu), u značenju: ko prije stekne neko pravo, njemu pripada i prvenstvo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C16" w14:textId="77777777" w:rsidR="00536E12" w:rsidRDefault="00536E12" w:rsidP="002F290A">
    <w:pPr>
      <w:pStyle w:val="Zaglavlje"/>
      <w:framePr w:wrap="around" w:vAnchor="text" w:hAnchor="margin" w:xAlign="outside"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2</w:t>
    </w:r>
    <w:r>
      <w:rPr>
        <w:rStyle w:val="Brojstranice"/>
      </w:rPr>
      <w:fldChar w:fldCharType="end"/>
    </w:r>
  </w:p>
  <w:p w14:paraId="6E8F57FA" w14:textId="77777777" w:rsidR="00536E12" w:rsidRDefault="00536E12" w:rsidP="00C70595">
    <w:pPr>
      <w:pStyle w:val="Zaglavlj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13AC" w14:textId="10CFF77B" w:rsidR="00536E12" w:rsidRDefault="00C515F1" w:rsidP="00B5237C">
    <w:pPr>
      <w:pStyle w:val="Zaglavlje"/>
    </w:pPr>
    <w:r>
      <w:rPr>
        <w:noProof/>
        <w:lang w:val="bs-Latn-BA" w:eastAsia="bs-Latn-BA"/>
      </w:rPr>
      <mc:AlternateContent>
        <mc:Choice Requires="wps">
          <w:drawing>
            <wp:anchor distT="36576" distB="36576" distL="36576" distR="36576" simplePos="0" relativeHeight="251657216" behindDoc="0" locked="0" layoutInCell="1" allowOverlap="1" wp14:anchorId="26D8B174" wp14:editId="1555E029">
              <wp:simplePos x="0" y="0"/>
              <wp:positionH relativeFrom="page">
                <wp:posOffset>1591945</wp:posOffset>
              </wp:positionH>
              <wp:positionV relativeFrom="page">
                <wp:posOffset>2719705</wp:posOffset>
              </wp:positionV>
              <wp:extent cx="5255895" cy="237490"/>
              <wp:effectExtent l="1270" t="5080" r="63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237490"/>
                      </a:xfrm>
                      <a:prstGeom prst="roundRect">
                        <a:avLst>
                          <a:gd name="adj" fmla="val 50000"/>
                        </a:avLst>
                      </a:prstGeom>
                      <a:solidFill>
                        <a:srgbClr val="C0C0C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613EB" id="AutoShape 2" o:spid="_x0000_s1026" style="position:absolute;margin-left:125.35pt;margin-top:214.15pt;width:413.85pt;height:18.7pt;z-index:2516572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" fillcolor="silver" stroked="f" strokeweight="0" insetpen="t">
              <v:shadow color="#ccc"/>
              <o:lock v:ext="edit" shapetype="t"/>
              <v:textbox inset="2.88pt,2.88pt,2.88pt,2.88pt"/>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F38786E"/>
    <w:lvl w:ilvl="0">
      <w:numFmt w:val="bullet"/>
      <w:lvlText w:val="*"/>
      <w:lvlJc w:val="left"/>
    </w:lvl>
  </w:abstractNum>
  <w:abstractNum w:abstractNumId="1" w15:restartNumberingAfterBreak="0">
    <w:nsid w:val="09F65527"/>
    <w:multiLevelType w:val="hybridMultilevel"/>
    <w:tmpl w:val="EE84CB6A"/>
    <w:lvl w:ilvl="0" w:tplc="0EDECD7E">
      <w:numFmt w:val="bullet"/>
      <w:lvlText w:val="-"/>
      <w:lvlJc w:val="left"/>
      <w:pPr>
        <w:ind w:left="720" w:hanging="360"/>
      </w:pPr>
      <w:rPr>
        <w:rFonts w:ascii="Arial" w:eastAsia="Arial" w:hAnsi="Arial" w:cs="Arial" w:hint="default"/>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E5CC0"/>
    <w:multiLevelType w:val="hybridMultilevel"/>
    <w:tmpl w:val="F6A6CB8A"/>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B774F64"/>
    <w:multiLevelType w:val="multilevel"/>
    <w:tmpl w:val="AE44FC2E"/>
    <w:lvl w:ilvl="0">
      <w:start w:val="1"/>
      <w:numFmt w:val="decimal"/>
      <w:pStyle w:val="Naslov1"/>
      <w:lvlText w:val="%1."/>
      <w:lvlJc w:val="left"/>
      <w:pPr>
        <w:tabs>
          <w:tab w:val="num" w:pos="397"/>
        </w:tabs>
        <w:ind w:left="397" w:hanging="397"/>
      </w:pPr>
      <w:rPr>
        <w:rFonts w:hint="default"/>
      </w:rPr>
    </w:lvl>
    <w:lvl w:ilvl="1">
      <w:start w:val="1"/>
      <w:numFmt w:val="decimal"/>
      <w:pStyle w:val="Naslov2"/>
      <w:lvlText w:val="%1.%2."/>
      <w:lvlJc w:val="left"/>
      <w:pPr>
        <w:tabs>
          <w:tab w:val="num" w:pos="567"/>
        </w:tabs>
        <w:ind w:left="567" w:hanging="567"/>
      </w:pPr>
      <w:rPr>
        <w:rFonts w:hint="default"/>
      </w:rPr>
    </w:lvl>
    <w:lvl w:ilvl="2">
      <w:start w:val="1"/>
      <w:numFmt w:val="decimal"/>
      <w:pStyle w:val="Naslov3"/>
      <w:lvlText w:val="%1.%2.%3."/>
      <w:lvlJc w:val="left"/>
      <w:pPr>
        <w:tabs>
          <w:tab w:val="num" w:pos="737"/>
        </w:tabs>
        <w:ind w:left="737" w:hanging="73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 w15:restartNumberingAfterBreak="0">
    <w:nsid w:val="1FE42E5F"/>
    <w:multiLevelType w:val="multilevel"/>
    <w:tmpl w:val="04090023"/>
    <w:name w:val="Naslovi5"/>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30143B0D"/>
    <w:multiLevelType w:val="hybridMultilevel"/>
    <w:tmpl w:val="55A28622"/>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6" w15:restartNumberingAfterBreak="0">
    <w:nsid w:val="33532852"/>
    <w:multiLevelType w:val="hybridMultilevel"/>
    <w:tmpl w:val="27E839EA"/>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7" w15:restartNumberingAfterBreak="0">
    <w:nsid w:val="338E0376"/>
    <w:multiLevelType w:val="hybridMultilevel"/>
    <w:tmpl w:val="E2CC2A80"/>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4207292"/>
    <w:multiLevelType w:val="multilevel"/>
    <w:tmpl w:val="6E760B9C"/>
    <w:lvl w:ilvl="0">
      <w:start w:val="1"/>
      <w:numFmt w:val="russianLower"/>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9" w15:restartNumberingAfterBreak="0">
    <w:nsid w:val="379D4DC6"/>
    <w:multiLevelType w:val="multilevel"/>
    <w:tmpl w:val="0409001D"/>
    <w:name w:val="Naslovi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F8C2439"/>
    <w:multiLevelType w:val="multilevel"/>
    <w:tmpl w:val="C51E92FA"/>
    <w:name w:val="Naslovi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0"/>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40147E"/>
    <w:multiLevelType w:val="multilevel"/>
    <w:tmpl w:val="65F0FECC"/>
    <w:lvl w:ilvl="0">
      <w:start w:val="1"/>
      <w:numFmt w:val="decimal"/>
      <w:pStyle w:val="Literatura"/>
      <w:lvlText w:val="[%1]"/>
      <w:lvlJc w:val="left"/>
      <w:pPr>
        <w:tabs>
          <w:tab w:val="num" w:pos="454"/>
        </w:tabs>
        <w:ind w:left="454" w:hanging="454"/>
      </w:pPr>
      <w:rPr>
        <w:rFonts w:hint="default"/>
        <w:color w:val="auto"/>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463803B2"/>
    <w:multiLevelType w:val="hybridMultilevel"/>
    <w:tmpl w:val="E13EB85C"/>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49B8632C"/>
    <w:multiLevelType w:val="multilevel"/>
    <w:tmpl w:val="B3EACF22"/>
    <w:lvl w:ilvl="0">
      <w:start w:val="1"/>
      <w:numFmt w:val="decimal"/>
      <w:lvlText w:val="%1."/>
      <w:lvlJc w:val="left"/>
      <w:pPr>
        <w:tabs>
          <w:tab w:val="num" w:pos="340"/>
        </w:tabs>
        <w:ind w:left="680" w:hanging="340"/>
      </w:pPr>
      <w:rPr>
        <w:rFonts w:ascii="Tunga" w:hAnsi="Tung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BC03B2A"/>
    <w:multiLevelType w:val="multilevel"/>
    <w:tmpl w:val="0409001F"/>
    <w:name w:val="Naslovi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D4A4E54"/>
    <w:multiLevelType w:val="multilevel"/>
    <w:tmpl w:val="0409001F"/>
    <w:name w:val="Naslovi4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E48653E"/>
    <w:multiLevelType w:val="hybridMultilevel"/>
    <w:tmpl w:val="DCA40D8A"/>
    <w:lvl w:ilvl="0" w:tplc="B18CF67E">
      <w:start w:val="1"/>
      <w:numFmt w:val="decimal"/>
      <w:pStyle w:val="Nabrajanjebrojevi"/>
      <w:lvlText w:val="%1."/>
      <w:lvlJc w:val="left"/>
      <w:pPr>
        <w:tabs>
          <w:tab w:val="num" w:pos="340"/>
        </w:tabs>
        <w:ind w:left="680" w:hanging="340"/>
      </w:pPr>
      <w:rPr>
        <w:rFonts w:ascii="Arial" w:hAnsi="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6F4EA2"/>
    <w:multiLevelType w:val="hybridMultilevel"/>
    <w:tmpl w:val="D52CAA7C"/>
    <w:lvl w:ilvl="0" w:tplc="0EDECD7E">
      <w:numFmt w:val="bullet"/>
      <w:lvlText w:val="-"/>
      <w:lvlJc w:val="left"/>
      <w:pPr>
        <w:ind w:left="720" w:hanging="360"/>
      </w:pPr>
      <w:rPr>
        <w:rFonts w:ascii="Arial" w:eastAsia="Arial" w:hAnsi="Arial" w:cs="Arial" w:hint="default"/>
        <w:w w:val="99"/>
        <w:sz w:val="20"/>
        <w:szCs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23D4020"/>
    <w:multiLevelType w:val="multilevel"/>
    <w:tmpl w:val="04090023"/>
    <w:name w:val="Naslovi4222"/>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26B136C"/>
    <w:multiLevelType w:val="multilevel"/>
    <w:tmpl w:val="0409001D"/>
    <w:name w:val="Naslovi4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295712F"/>
    <w:multiLevelType w:val="multilevel"/>
    <w:tmpl w:val="592A213E"/>
    <w:lvl w:ilvl="0">
      <w:start w:val="1"/>
      <w:numFmt w:val="lowerLetter"/>
      <w:pStyle w:val="nabrajanjeslova"/>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21" w15:restartNumberingAfterBreak="0">
    <w:nsid w:val="53CE4726"/>
    <w:multiLevelType w:val="hybridMultilevel"/>
    <w:tmpl w:val="8D6CEB7A"/>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15:restartNumberingAfterBreak="0">
    <w:nsid w:val="56943FAD"/>
    <w:multiLevelType w:val="multilevel"/>
    <w:tmpl w:val="CEFC2E8E"/>
    <w:lvl w:ilvl="0">
      <w:start w:val="1"/>
      <w:numFmt w:val="russianLower"/>
      <w:lvlText w:val="%1)"/>
      <w:lvlJc w:val="left"/>
      <w:pPr>
        <w:tabs>
          <w:tab w:val="num" w:pos="340"/>
        </w:tabs>
        <w:ind w:left="340" w:hanging="340"/>
      </w:pPr>
      <w:rPr>
        <w:rFonts w:ascii="Arial" w:hAnsi="Arial" w:hint="default"/>
        <w:sz w:val="22"/>
        <w:szCs w:val="22"/>
      </w:rPr>
    </w:lvl>
    <w:lvl w:ilvl="1">
      <w:start w:val="1"/>
      <w:numFmt w:val="lowerLetter"/>
      <w:lvlText w:val="%2)"/>
      <w:lvlJc w:val="left"/>
      <w:pPr>
        <w:tabs>
          <w:tab w:val="num" w:pos="2177"/>
        </w:tabs>
        <w:ind w:left="2177" w:hanging="360"/>
      </w:pPr>
      <w:rPr>
        <w:rFonts w:hint="default"/>
      </w:rPr>
    </w:lvl>
    <w:lvl w:ilvl="2">
      <w:start w:val="1"/>
      <w:numFmt w:val="lowerRoman"/>
      <w:lvlText w:val="%3)"/>
      <w:lvlJc w:val="left"/>
      <w:pPr>
        <w:tabs>
          <w:tab w:val="num" w:pos="2537"/>
        </w:tabs>
        <w:ind w:left="2537" w:hanging="360"/>
      </w:pPr>
      <w:rPr>
        <w:rFonts w:hint="default"/>
      </w:rPr>
    </w:lvl>
    <w:lvl w:ilvl="3">
      <w:start w:val="1"/>
      <w:numFmt w:val="decimal"/>
      <w:lvlText w:val="(%4)"/>
      <w:lvlJc w:val="left"/>
      <w:pPr>
        <w:tabs>
          <w:tab w:val="num" w:pos="2897"/>
        </w:tabs>
        <w:ind w:left="2897" w:hanging="360"/>
      </w:pPr>
      <w:rPr>
        <w:rFonts w:hint="default"/>
      </w:rPr>
    </w:lvl>
    <w:lvl w:ilvl="4">
      <w:start w:val="1"/>
      <w:numFmt w:val="lowerLetter"/>
      <w:lvlText w:val="(%5)"/>
      <w:lvlJc w:val="left"/>
      <w:pPr>
        <w:tabs>
          <w:tab w:val="num" w:pos="3257"/>
        </w:tabs>
        <w:ind w:left="3257" w:hanging="360"/>
      </w:pPr>
      <w:rPr>
        <w:rFonts w:hint="default"/>
      </w:rPr>
    </w:lvl>
    <w:lvl w:ilvl="5">
      <w:start w:val="1"/>
      <w:numFmt w:val="lowerRoman"/>
      <w:lvlText w:val="(%6)"/>
      <w:lvlJc w:val="left"/>
      <w:pPr>
        <w:tabs>
          <w:tab w:val="num" w:pos="3617"/>
        </w:tabs>
        <w:ind w:left="3617" w:hanging="360"/>
      </w:pPr>
      <w:rPr>
        <w:rFonts w:hint="default"/>
      </w:rPr>
    </w:lvl>
    <w:lvl w:ilvl="6">
      <w:start w:val="1"/>
      <w:numFmt w:val="decimal"/>
      <w:lvlText w:val="%7."/>
      <w:lvlJc w:val="left"/>
      <w:pPr>
        <w:tabs>
          <w:tab w:val="num" w:pos="3977"/>
        </w:tabs>
        <w:ind w:left="3977" w:hanging="360"/>
      </w:pPr>
      <w:rPr>
        <w:rFonts w:hint="default"/>
      </w:rPr>
    </w:lvl>
    <w:lvl w:ilvl="7">
      <w:start w:val="1"/>
      <w:numFmt w:val="lowerLetter"/>
      <w:lvlText w:val="%8."/>
      <w:lvlJc w:val="left"/>
      <w:pPr>
        <w:tabs>
          <w:tab w:val="num" w:pos="4337"/>
        </w:tabs>
        <w:ind w:left="4337" w:hanging="360"/>
      </w:pPr>
      <w:rPr>
        <w:rFonts w:hint="default"/>
      </w:rPr>
    </w:lvl>
    <w:lvl w:ilvl="8">
      <w:start w:val="1"/>
      <w:numFmt w:val="lowerRoman"/>
      <w:lvlText w:val="%9."/>
      <w:lvlJc w:val="left"/>
      <w:pPr>
        <w:tabs>
          <w:tab w:val="num" w:pos="4697"/>
        </w:tabs>
        <w:ind w:left="4697" w:hanging="360"/>
      </w:pPr>
      <w:rPr>
        <w:rFonts w:hint="default"/>
      </w:rPr>
    </w:lvl>
  </w:abstractNum>
  <w:abstractNum w:abstractNumId="23" w15:restartNumberingAfterBreak="0">
    <w:nsid w:val="60D1726F"/>
    <w:multiLevelType w:val="multilevel"/>
    <w:tmpl w:val="0AC4458C"/>
    <w:lvl w:ilvl="0">
      <w:start w:val="1"/>
      <w:numFmt w:val="decimal"/>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2B16DCF"/>
    <w:multiLevelType w:val="multilevel"/>
    <w:tmpl w:val="141A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710C04"/>
    <w:multiLevelType w:val="hybridMultilevel"/>
    <w:tmpl w:val="3DE6FAFE"/>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6F071E3C"/>
    <w:multiLevelType w:val="hybridMultilevel"/>
    <w:tmpl w:val="3AA40C70"/>
    <w:lvl w:ilvl="0" w:tplc="0EDECD7E">
      <w:numFmt w:val="bullet"/>
      <w:lvlText w:val="-"/>
      <w:lvlJc w:val="left"/>
      <w:pPr>
        <w:ind w:left="720" w:hanging="360"/>
      </w:pPr>
      <w:rPr>
        <w:rFonts w:ascii="Arial" w:eastAsia="Arial" w:hAnsi="Arial" w:cs="Arial" w:hint="default"/>
        <w:w w:val="99"/>
        <w:sz w:val="20"/>
        <w:szCs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7" w15:restartNumberingAfterBreak="0">
    <w:nsid w:val="74D67FAB"/>
    <w:multiLevelType w:val="multilevel"/>
    <w:tmpl w:val="0409001F"/>
    <w:name w:val="Naslovi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55C2216"/>
    <w:multiLevelType w:val="multilevel"/>
    <w:tmpl w:val="DA82352E"/>
    <w:lvl w:ilvl="0">
      <w:start w:val="1"/>
      <w:numFmt w:val="russianLower"/>
      <w:lvlText w:val="%1)"/>
      <w:lvlJc w:val="left"/>
      <w:pPr>
        <w:tabs>
          <w:tab w:val="num" w:pos="1021"/>
        </w:tabs>
        <w:ind w:left="1021" w:hanging="301"/>
      </w:pPr>
      <w:rPr>
        <w:rFonts w:ascii="Times New Roman" w:hAnsi="Times New Roman"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29" w15:restartNumberingAfterBreak="0">
    <w:nsid w:val="7E7803A1"/>
    <w:multiLevelType w:val="hybridMultilevel"/>
    <w:tmpl w:val="B58EACBA"/>
    <w:lvl w:ilvl="0" w:tplc="0EDECD7E">
      <w:numFmt w:val="bullet"/>
      <w:lvlText w:val="-"/>
      <w:lvlJc w:val="left"/>
      <w:pPr>
        <w:ind w:left="720" w:hanging="360"/>
      </w:pPr>
      <w:rPr>
        <w:rFonts w:ascii="Arial" w:eastAsia="Arial" w:hAnsi="Arial" w:cs="Arial" w:hint="default"/>
        <w:w w:val="99"/>
        <w:sz w:val="20"/>
        <w:szCs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11803789">
    <w:abstractNumId w:val="22"/>
  </w:num>
  <w:num w:numId="2" w16cid:durableId="1096906347">
    <w:abstractNumId w:val="16"/>
  </w:num>
  <w:num w:numId="3" w16cid:durableId="1656495987">
    <w:abstractNumId w:val="11"/>
  </w:num>
  <w:num w:numId="4" w16cid:durableId="1878279012">
    <w:abstractNumId w:val="16"/>
  </w:num>
  <w:num w:numId="5" w16cid:durableId="1251279596">
    <w:abstractNumId w:val="22"/>
  </w:num>
  <w:num w:numId="6" w16cid:durableId="1094135527">
    <w:abstractNumId w:val="3"/>
  </w:num>
  <w:num w:numId="7" w16cid:durableId="1885674263">
    <w:abstractNumId w:val="0"/>
    <w:lvlOverride w:ilvl="0">
      <w:lvl w:ilvl="0">
        <w:start w:val="1"/>
        <w:numFmt w:val="bullet"/>
        <w:lvlText w:val=""/>
        <w:legacy w:legacy="1" w:legacySpace="0" w:legacyIndent="227"/>
        <w:lvlJc w:val="left"/>
        <w:pPr>
          <w:ind w:left="471" w:hanging="227"/>
        </w:pPr>
        <w:rPr>
          <w:rFonts w:ascii="Symbol" w:hAnsi="Symbol" w:hint="default"/>
        </w:rPr>
      </w:lvl>
    </w:lvlOverride>
  </w:num>
  <w:num w:numId="8" w16cid:durableId="1319991337">
    <w:abstractNumId w:val="0"/>
    <w:lvlOverride w:ilvl="0">
      <w:lvl w:ilvl="0">
        <w:start w:val="1"/>
        <w:numFmt w:val="bullet"/>
        <w:lvlText w:val=""/>
        <w:legacy w:legacy="1" w:legacySpace="0" w:legacyIndent="227"/>
        <w:lvlJc w:val="left"/>
        <w:pPr>
          <w:ind w:left="567" w:hanging="227"/>
        </w:pPr>
        <w:rPr>
          <w:rFonts w:ascii="Symbol" w:hAnsi="Symbol" w:hint="default"/>
        </w:rPr>
      </w:lvl>
    </w:lvlOverride>
  </w:num>
  <w:num w:numId="9" w16cid:durableId="2133401266">
    <w:abstractNumId w:val="20"/>
  </w:num>
  <w:num w:numId="10" w16cid:durableId="256211402">
    <w:abstractNumId w:val="28"/>
  </w:num>
  <w:num w:numId="11" w16cid:durableId="33390575">
    <w:abstractNumId w:val="20"/>
  </w:num>
  <w:num w:numId="12" w16cid:durableId="1757747992">
    <w:abstractNumId w:val="8"/>
  </w:num>
  <w:num w:numId="13" w16cid:durableId="1824079929">
    <w:abstractNumId w:val="13"/>
  </w:num>
  <w:num w:numId="14" w16cid:durableId="1675959857">
    <w:abstractNumId w:val="23"/>
  </w:num>
  <w:num w:numId="15" w16cid:durableId="41370387">
    <w:abstractNumId w:val="20"/>
  </w:num>
  <w:num w:numId="16" w16cid:durableId="2085491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45926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4489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7564644">
    <w:abstractNumId w:val="5"/>
  </w:num>
  <w:num w:numId="20" w16cid:durableId="1011570582">
    <w:abstractNumId w:val="24"/>
  </w:num>
  <w:num w:numId="21" w16cid:durableId="1179931329">
    <w:abstractNumId w:val="17"/>
  </w:num>
  <w:num w:numId="22" w16cid:durableId="63839256">
    <w:abstractNumId w:val="26"/>
  </w:num>
  <w:num w:numId="23" w16cid:durableId="1788622894">
    <w:abstractNumId w:val="21"/>
  </w:num>
  <w:num w:numId="24" w16cid:durableId="1005481088">
    <w:abstractNumId w:val="29"/>
  </w:num>
  <w:num w:numId="25" w16cid:durableId="1919290747">
    <w:abstractNumId w:val="1"/>
  </w:num>
  <w:num w:numId="26" w16cid:durableId="780608475">
    <w:abstractNumId w:val="2"/>
  </w:num>
  <w:num w:numId="27" w16cid:durableId="823545767">
    <w:abstractNumId w:val="25"/>
  </w:num>
  <w:num w:numId="28" w16cid:durableId="1519395526">
    <w:abstractNumId w:val="12"/>
  </w:num>
  <w:num w:numId="29" w16cid:durableId="10293350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mirrorMargins/>
  <w:proofState w:spelling="clean" w:grammar="clean"/>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20"/>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E12"/>
    <w:rsid w:val="00003B2A"/>
    <w:rsid w:val="00006E0A"/>
    <w:rsid w:val="00014B20"/>
    <w:rsid w:val="00020013"/>
    <w:rsid w:val="0002020C"/>
    <w:rsid w:val="00021703"/>
    <w:rsid w:val="000246CC"/>
    <w:rsid w:val="0002502F"/>
    <w:rsid w:val="000328B0"/>
    <w:rsid w:val="00032B36"/>
    <w:rsid w:val="00042A22"/>
    <w:rsid w:val="000445EE"/>
    <w:rsid w:val="00047E55"/>
    <w:rsid w:val="000639A0"/>
    <w:rsid w:val="00064466"/>
    <w:rsid w:val="00072E7E"/>
    <w:rsid w:val="000913E0"/>
    <w:rsid w:val="0009624D"/>
    <w:rsid w:val="00096987"/>
    <w:rsid w:val="000A170F"/>
    <w:rsid w:val="000A480C"/>
    <w:rsid w:val="000B2083"/>
    <w:rsid w:val="000B3E72"/>
    <w:rsid w:val="000B6504"/>
    <w:rsid w:val="000F3563"/>
    <w:rsid w:val="000F6083"/>
    <w:rsid w:val="0010680B"/>
    <w:rsid w:val="00107363"/>
    <w:rsid w:val="00123DE6"/>
    <w:rsid w:val="00124635"/>
    <w:rsid w:val="00125BAC"/>
    <w:rsid w:val="00131C7A"/>
    <w:rsid w:val="00133889"/>
    <w:rsid w:val="00133EDE"/>
    <w:rsid w:val="00135CD8"/>
    <w:rsid w:val="00137460"/>
    <w:rsid w:val="00144057"/>
    <w:rsid w:val="00151A6E"/>
    <w:rsid w:val="00155A8C"/>
    <w:rsid w:val="001606E8"/>
    <w:rsid w:val="00170EC2"/>
    <w:rsid w:val="00183428"/>
    <w:rsid w:val="00193DFD"/>
    <w:rsid w:val="001B03F6"/>
    <w:rsid w:val="001B7852"/>
    <w:rsid w:val="001C1667"/>
    <w:rsid w:val="001C424C"/>
    <w:rsid w:val="001C7B8B"/>
    <w:rsid w:val="001D60FA"/>
    <w:rsid w:val="001E5DD0"/>
    <w:rsid w:val="001F379E"/>
    <w:rsid w:val="001F4797"/>
    <w:rsid w:val="002132BE"/>
    <w:rsid w:val="002140C4"/>
    <w:rsid w:val="002312B2"/>
    <w:rsid w:val="00237637"/>
    <w:rsid w:val="00237ECA"/>
    <w:rsid w:val="002455A0"/>
    <w:rsid w:val="00252E21"/>
    <w:rsid w:val="00253377"/>
    <w:rsid w:val="002749FA"/>
    <w:rsid w:val="00284F0C"/>
    <w:rsid w:val="00292AE2"/>
    <w:rsid w:val="002A20A5"/>
    <w:rsid w:val="002B0DCB"/>
    <w:rsid w:val="002B6410"/>
    <w:rsid w:val="002D6C1D"/>
    <w:rsid w:val="002E71B3"/>
    <w:rsid w:val="002F290A"/>
    <w:rsid w:val="002F4F8D"/>
    <w:rsid w:val="0030771A"/>
    <w:rsid w:val="00336A06"/>
    <w:rsid w:val="00347D3E"/>
    <w:rsid w:val="00367EF0"/>
    <w:rsid w:val="00375A3E"/>
    <w:rsid w:val="00397E7A"/>
    <w:rsid w:val="003A33A5"/>
    <w:rsid w:val="003C59F7"/>
    <w:rsid w:val="003D1617"/>
    <w:rsid w:val="003D6327"/>
    <w:rsid w:val="003E775A"/>
    <w:rsid w:val="0040164A"/>
    <w:rsid w:val="00407261"/>
    <w:rsid w:val="004125AC"/>
    <w:rsid w:val="0042027B"/>
    <w:rsid w:val="004423F5"/>
    <w:rsid w:val="00442FF1"/>
    <w:rsid w:val="004575C3"/>
    <w:rsid w:val="004662FB"/>
    <w:rsid w:val="00492639"/>
    <w:rsid w:val="00495538"/>
    <w:rsid w:val="004A5739"/>
    <w:rsid w:val="004B154F"/>
    <w:rsid w:val="004B294C"/>
    <w:rsid w:val="004C1BE4"/>
    <w:rsid w:val="004D01A3"/>
    <w:rsid w:val="004E2103"/>
    <w:rsid w:val="004F7C1D"/>
    <w:rsid w:val="00513E52"/>
    <w:rsid w:val="005147CE"/>
    <w:rsid w:val="00523917"/>
    <w:rsid w:val="00527E64"/>
    <w:rsid w:val="00530688"/>
    <w:rsid w:val="00530C4A"/>
    <w:rsid w:val="00536E12"/>
    <w:rsid w:val="005567A1"/>
    <w:rsid w:val="0058315A"/>
    <w:rsid w:val="00587388"/>
    <w:rsid w:val="0059280E"/>
    <w:rsid w:val="005A71A5"/>
    <w:rsid w:val="005A7BCF"/>
    <w:rsid w:val="005B15BC"/>
    <w:rsid w:val="005C0684"/>
    <w:rsid w:val="005C1CA8"/>
    <w:rsid w:val="005C4DF4"/>
    <w:rsid w:val="005C607C"/>
    <w:rsid w:val="005D04ED"/>
    <w:rsid w:val="005D1E02"/>
    <w:rsid w:val="005D5134"/>
    <w:rsid w:val="005D57ED"/>
    <w:rsid w:val="005F179B"/>
    <w:rsid w:val="005F6724"/>
    <w:rsid w:val="006036AF"/>
    <w:rsid w:val="00607983"/>
    <w:rsid w:val="0061032E"/>
    <w:rsid w:val="00626D86"/>
    <w:rsid w:val="00627453"/>
    <w:rsid w:val="00630205"/>
    <w:rsid w:val="0063426F"/>
    <w:rsid w:val="0064079F"/>
    <w:rsid w:val="0064735A"/>
    <w:rsid w:val="006554CD"/>
    <w:rsid w:val="00686FEB"/>
    <w:rsid w:val="00697EBD"/>
    <w:rsid w:val="006A1791"/>
    <w:rsid w:val="006C0BBF"/>
    <w:rsid w:val="006C15C0"/>
    <w:rsid w:val="006D1B01"/>
    <w:rsid w:val="006E423E"/>
    <w:rsid w:val="006F4AB6"/>
    <w:rsid w:val="007063D3"/>
    <w:rsid w:val="007116F8"/>
    <w:rsid w:val="00712A06"/>
    <w:rsid w:val="00714D29"/>
    <w:rsid w:val="0071799A"/>
    <w:rsid w:val="00722D9A"/>
    <w:rsid w:val="00742BB5"/>
    <w:rsid w:val="007717EA"/>
    <w:rsid w:val="0078175C"/>
    <w:rsid w:val="00793352"/>
    <w:rsid w:val="007A29E4"/>
    <w:rsid w:val="007D1C37"/>
    <w:rsid w:val="007E0579"/>
    <w:rsid w:val="007E33B8"/>
    <w:rsid w:val="007E5136"/>
    <w:rsid w:val="007E730E"/>
    <w:rsid w:val="0080412F"/>
    <w:rsid w:val="008046CD"/>
    <w:rsid w:val="008148D7"/>
    <w:rsid w:val="00822969"/>
    <w:rsid w:val="00835CF0"/>
    <w:rsid w:val="0084653B"/>
    <w:rsid w:val="00846CF8"/>
    <w:rsid w:val="00852AC0"/>
    <w:rsid w:val="00862882"/>
    <w:rsid w:val="0089453D"/>
    <w:rsid w:val="008C6D7C"/>
    <w:rsid w:val="008D2CC3"/>
    <w:rsid w:val="008D5EC7"/>
    <w:rsid w:val="008D6B76"/>
    <w:rsid w:val="008E5C55"/>
    <w:rsid w:val="008E748A"/>
    <w:rsid w:val="008F175A"/>
    <w:rsid w:val="008F56DB"/>
    <w:rsid w:val="00925497"/>
    <w:rsid w:val="009311FF"/>
    <w:rsid w:val="009550A4"/>
    <w:rsid w:val="00965D5B"/>
    <w:rsid w:val="0099162B"/>
    <w:rsid w:val="00991AA1"/>
    <w:rsid w:val="00997922"/>
    <w:rsid w:val="009B5933"/>
    <w:rsid w:val="009B5A73"/>
    <w:rsid w:val="009B7111"/>
    <w:rsid w:val="009C0257"/>
    <w:rsid w:val="009C303F"/>
    <w:rsid w:val="009E4843"/>
    <w:rsid w:val="009E5C52"/>
    <w:rsid w:val="009E5EEB"/>
    <w:rsid w:val="00A02A08"/>
    <w:rsid w:val="00A03682"/>
    <w:rsid w:val="00A14DEA"/>
    <w:rsid w:val="00A172D2"/>
    <w:rsid w:val="00A30654"/>
    <w:rsid w:val="00A43139"/>
    <w:rsid w:val="00A617FB"/>
    <w:rsid w:val="00A70AC2"/>
    <w:rsid w:val="00A91B90"/>
    <w:rsid w:val="00AA1214"/>
    <w:rsid w:val="00AA6A78"/>
    <w:rsid w:val="00AA76D8"/>
    <w:rsid w:val="00AB3419"/>
    <w:rsid w:val="00AC3373"/>
    <w:rsid w:val="00AF1B9C"/>
    <w:rsid w:val="00AF2CC6"/>
    <w:rsid w:val="00AF6969"/>
    <w:rsid w:val="00AF7784"/>
    <w:rsid w:val="00B0087A"/>
    <w:rsid w:val="00B06949"/>
    <w:rsid w:val="00B1015A"/>
    <w:rsid w:val="00B16624"/>
    <w:rsid w:val="00B227E6"/>
    <w:rsid w:val="00B31F98"/>
    <w:rsid w:val="00B338E4"/>
    <w:rsid w:val="00B50423"/>
    <w:rsid w:val="00B5237C"/>
    <w:rsid w:val="00B678F9"/>
    <w:rsid w:val="00B84BC4"/>
    <w:rsid w:val="00B93931"/>
    <w:rsid w:val="00BA3C81"/>
    <w:rsid w:val="00BA3D32"/>
    <w:rsid w:val="00BC01D5"/>
    <w:rsid w:val="00BD158B"/>
    <w:rsid w:val="00BD4F94"/>
    <w:rsid w:val="00BD6D88"/>
    <w:rsid w:val="00BF2E9B"/>
    <w:rsid w:val="00C01EBF"/>
    <w:rsid w:val="00C029B7"/>
    <w:rsid w:val="00C0530E"/>
    <w:rsid w:val="00C1155F"/>
    <w:rsid w:val="00C265C3"/>
    <w:rsid w:val="00C30150"/>
    <w:rsid w:val="00C42E7B"/>
    <w:rsid w:val="00C45213"/>
    <w:rsid w:val="00C515F1"/>
    <w:rsid w:val="00C60E30"/>
    <w:rsid w:val="00C70595"/>
    <w:rsid w:val="00C71C05"/>
    <w:rsid w:val="00C74124"/>
    <w:rsid w:val="00C77F43"/>
    <w:rsid w:val="00C87783"/>
    <w:rsid w:val="00C918EA"/>
    <w:rsid w:val="00C92AF6"/>
    <w:rsid w:val="00C92FD3"/>
    <w:rsid w:val="00C95B43"/>
    <w:rsid w:val="00CC436D"/>
    <w:rsid w:val="00CC4E02"/>
    <w:rsid w:val="00CC6E34"/>
    <w:rsid w:val="00CD0257"/>
    <w:rsid w:val="00CD563C"/>
    <w:rsid w:val="00CE18B0"/>
    <w:rsid w:val="00CF0365"/>
    <w:rsid w:val="00D03384"/>
    <w:rsid w:val="00D06D14"/>
    <w:rsid w:val="00D32B1D"/>
    <w:rsid w:val="00D36F74"/>
    <w:rsid w:val="00D44FC5"/>
    <w:rsid w:val="00D565A2"/>
    <w:rsid w:val="00D837F7"/>
    <w:rsid w:val="00DA4E53"/>
    <w:rsid w:val="00DB0997"/>
    <w:rsid w:val="00DC6B2E"/>
    <w:rsid w:val="00DD3FF0"/>
    <w:rsid w:val="00DD4EB8"/>
    <w:rsid w:val="00DD56D4"/>
    <w:rsid w:val="00DD770B"/>
    <w:rsid w:val="00DE6D98"/>
    <w:rsid w:val="00DF0642"/>
    <w:rsid w:val="00DF21F0"/>
    <w:rsid w:val="00E02505"/>
    <w:rsid w:val="00E15BA8"/>
    <w:rsid w:val="00E24A2F"/>
    <w:rsid w:val="00E312E1"/>
    <w:rsid w:val="00E37B84"/>
    <w:rsid w:val="00E4132E"/>
    <w:rsid w:val="00E42733"/>
    <w:rsid w:val="00E732F5"/>
    <w:rsid w:val="00E73F9E"/>
    <w:rsid w:val="00E7569F"/>
    <w:rsid w:val="00E8360C"/>
    <w:rsid w:val="00E86338"/>
    <w:rsid w:val="00E90BCD"/>
    <w:rsid w:val="00E955E9"/>
    <w:rsid w:val="00EA57AA"/>
    <w:rsid w:val="00EC00B1"/>
    <w:rsid w:val="00EC0117"/>
    <w:rsid w:val="00EC40A9"/>
    <w:rsid w:val="00ED42CA"/>
    <w:rsid w:val="00EE45FA"/>
    <w:rsid w:val="00EE4721"/>
    <w:rsid w:val="00EF113D"/>
    <w:rsid w:val="00EF7A55"/>
    <w:rsid w:val="00F033B7"/>
    <w:rsid w:val="00F06F31"/>
    <w:rsid w:val="00F11630"/>
    <w:rsid w:val="00F12FA7"/>
    <w:rsid w:val="00F13B47"/>
    <w:rsid w:val="00F2009C"/>
    <w:rsid w:val="00F269E3"/>
    <w:rsid w:val="00F32240"/>
    <w:rsid w:val="00F41144"/>
    <w:rsid w:val="00F77E80"/>
    <w:rsid w:val="00F87917"/>
    <w:rsid w:val="00F92286"/>
    <w:rsid w:val="00F9435A"/>
    <w:rsid w:val="00F951E8"/>
    <w:rsid w:val="00FA2382"/>
    <w:rsid w:val="00FC3339"/>
    <w:rsid w:val="00FD0E2B"/>
    <w:rsid w:val="00FD2709"/>
    <w:rsid w:val="00FE1E67"/>
    <w:rsid w:val="00FE2611"/>
    <w:rsid w:val="00FE2BA4"/>
    <w:rsid w:val="00FE3B01"/>
    <w:rsid w:val="00FE60C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863A87"/>
  <w15:docId w15:val="{ED2D2D18-04DB-4C76-87B5-EC6403B3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o">
    <w:name w:val="Normal"/>
    <w:aliases w:val="Tekst"/>
    <w:qFormat/>
    <w:rsid w:val="009B5A73"/>
    <w:pPr>
      <w:widowControl w:val="0"/>
      <w:spacing w:after="240"/>
      <w:jc w:val="both"/>
    </w:pPr>
    <w:rPr>
      <w:rFonts w:ascii="Arial" w:hAnsi="Arial"/>
      <w:sz w:val="22"/>
      <w:szCs w:val="22"/>
      <w:lang w:val="sr-Latn-CS" w:eastAsia="en-US"/>
    </w:rPr>
  </w:style>
  <w:style w:type="paragraph" w:styleId="Naslov1">
    <w:name w:val="heading 1"/>
    <w:basedOn w:val="Normalno"/>
    <w:next w:val="Normalno"/>
    <w:link w:val="Naslov1Znak"/>
    <w:qFormat/>
    <w:rsid w:val="009B5A73"/>
    <w:pPr>
      <w:keepNext/>
      <w:numPr>
        <w:numId w:val="6"/>
      </w:numPr>
      <w:tabs>
        <w:tab w:val="left" w:pos="340"/>
      </w:tabs>
      <w:spacing w:before="720"/>
      <w:jc w:val="left"/>
      <w:outlineLvl w:val="0"/>
    </w:pPr>
    <w:rPr>
      <w:rFonts w:cs="Arial"/>
      <w:b/>
      <w:bCs/>
      <w:caps/>
      <w:sz w:val="24"/>
      <w:szCs w:val="24"/>
    </w:rPr>
  </w:style>
  <w:style w:type="paragraph" w:styleId="Naslov2">
    <w:name w:val="heading 2"/>
    <w:basedOn w:val="Normalno"/>
    <w:next w:val="Normalno"/>
    <w:qFormat/>
    <w:rsid w:val="009B5A73"/>
    <w:pPr>
      <w:keepNext/>
      <w:numPr>
        <w:ilvl w:val="1"/>
        <w:numId w:val="6"/>
      </w:numPr>
      <w:tabs>
        <w:tab w:val="left" w:pos="680"/>
      </w:tabs>
      <w:spacing w:before="480"/>
      <w:jc w:val="left"/>
      <w:outlineLvl w:val="1"/>
    </w:pPr>
    <w:rPr>
      <w:rFonts w:cs="Arial"/>
      <w:b/>
      <w:bCs/>
      <w:iCs/>
      <w:sz w:val="24"/>
      <w:szCs w:val="24"/>
    </w:rPr>
  </w:style>
  <w:style w:type="paragraph" w:styleId="Naslov3">
    <w:name w:val="heading 3"/>
    <w:basedOn w:val="Naslov2"/>
    <w:next w:val="Normalno"/>
    <w:qFormat/>
    <w:rsid w:val="007063D3"/>
    <w:pPr>
      <w:numPr>
        <w:ilvl w:val="2"/>
      </w:numPr>
      <w:tabs>
        <w:tab w:val="clear" w:pos="680"/>
        <w:tab w:val="left" w:pos="794"/>
      </w:tabs>
      <w:outlineLvl w:val="2"/>
    </w:pPr>
    <w:rPr>
      <w:b w:val="0"/>
      <w:bCs w:val="0"/>
      <w:sz w:val="22"/>
      <w:szCs w:val="22"/>
    </w:rPr>
  </w:style>
  <w:style w:type="paragraph" w:styleId="Naslov4">
    <w:name w:val="heading 4"/>
    <w:basedOn w:val="Normalno"/>
    <w:next w:val="Normalno"/>
    <w:qFormat/>
    <w:rsid w:val="00CD563C"/>
    <w:pPr>
      <w:keepNext/>
      <w:tabs>
        <w:tab w:val="left" w:pos="2268"/>
      </w:tabs>
      <w:spacing w:before="480"/>
      <w:ind w:left="2268" w:hanging="2268"/>
      <w:jc w:val="left"/>
      <w:outlineLvl w:val="3"/>
    </w:pPr>
    <w:rPr>
      <w:b/>
      <w:bCs/>
      <w:i/>
      <w:sz w:val="20"/>
      <w:szCs w:val="20"/>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Zaglavlje">
    <w:name w:val="header"/>
    <w:basedOn w:val="Normalno"/>
    <w:link w:val="ZaglavljeZnak"/>
    <w:uiPriority w:val="99"/>
    <w:rsid w:val="00B5237C"/>
    <w:pPr>
      <w:spacing w:after="0"/>
      <w:jc w:val="center"/>
    </w:pPr>
    <w:rPr>
      <w:rFonts w:ascii="Century Gothic" w:hAnsi="Century Gothic"/>
      <w:sz w:val="18"/>
      <w:szCs w:val="18"/>
    </w:rPr>
  </w:style>
  <w:style w:type="paragraph" w:customStyle="1" w:styleId="Rezime">
    <w:name w:val="Rezime"/>
    <w:basedOn w:val="Normalno"/>
    <w:rsid w:val="00237637"/>
    <w:pPr>
      <w:ind w:left="3119"/>
    </w:pPr>
    <w:rPr>
      <w:rFonts w:cs="Arial"/>
      <w:i/>
      <w:iCs/>
      <w:sz w:val="20"/>
      <w:szCs w:val="20"/>
    </w:rPr>
  </w:style>
  <w:style w:type="paragraph" w:styleId="Tekstfusnote">
    <w:name w:val="footnote text"/>
    <w:basedOn w:val="Normalno"/>
    <w:link w:val="TekstfusnoteZnak"/>
    <w:uiPriority w:val="99"/>
    <w:rsid w:val="00513E52"/>
    <w:pPr>
      <w:tabs>
        <w:tab w:val="left" w:pos="227"/>
      </w:tabs>
      <w:spacing w:after="0"/>
      <w:ind w:left="227" w:hanging="227"/>
    </w:pPr>
    <w:rPr>
      <w:rFonts w:cs="Arial"/>
      <w:sz w:val="16"/>
      <w:szCs w:val="16"/>
    </w:rPr>
  </w:style>
  <w:style w:type="character" w:styleId="Referencafusnote">
    <w:name w:val="footnote reference"/>
    <w:uiPriority w:val="99"/>
    <w:rsid w:val="005A7BCF"/>
    <w:rPr>
      <w:rFonts w:ascii="Arial" w:hAnsi="Arial"/>
      <w:sz w:val="22"/>
      <w:szCs w:val="22"/>
      <w:vertAlign w:val="superscript"/>
    </w:rPr>
  </w:style>
  <w:style w:type="character" w:customStyle="1" w:styleId="TekstfusnoteZnak">
    <w:name w:val="Tekst fusnote Znak"/>
    <w:link w:val="Tekstfusnote"/>
    <w:uiPriority w:val="99"/>
    <w:rsid w:val="006554CD"/>
    <w:rPr>
      <w:rFonts w:ascii="Arial" w:hAnsi="Arial" w:cs="Arial"/>
      <w:sz w:val="16"/>
      <w:szCs w:val="16"/>
      <w:lang w:val="sr-Cyrl-CS" w:eastAsia="en-US" w:bidi="ar-SA"/>
    </w:rPr>
  </w:style>
  <w:style w:type="paragraph" w:customStyle="1" w:styleId="Primer">
    <w:name w:val="Primer"/>
    <w:basedOn w:val="Normalno"/>
    <w:rsid w:val="00003B2A"/>
    <w:pPr>
      <w:spacing w:after="160"/>
    </w:pPr>
    <w:rPr>
      <w:b/>
      <w:i/>
      <w:sz w:val="18"/>
      <w:szCs w:val="18"/>
    </w:rPr>
  </w:style>
  <w:style w:type="character" w:styleId="Hiperveza">
    <w:name w:val="Hyperlink"/>
    <w:rsid w:val="0063426F"/>
    <w:rPr>
      <w:rFonts w:ascii="Arial" w:hAnsi="Arial"/>
      <w:color w:val="0000FF"/>
      <w:sz w:val="16"/>
      <w:szCs w:val="16"/>
      <w:u w:val="single"/>
    </w:rPr>
  </w:style>
  <w:style w:type="paragraph" w:customStyle="1" w:styleId="Item">
    <w:name w:val="Item"/>
    <w:basedOn w:val="Normalno"/>
    <w:rsid w:val="009B5A73"/>
    <w:pPr>
      <w:tabs>
        <w:tab w:val="left" w:pos="227"/>
      </w:tabs>
      <w:overflowPunct w:val="0"/>
      <w:autoSpaceDE w:val="0"/>
      <w:autoSpaceDN w:val="0"/>
      <w:adjustRightInd w:val="0"/>
      <w:ind w:left="680" w:hanging="340"/>
      <w:contextualSpacing/>
      <w:textAlignment w:val="baseline"/>
    </w:pPr>
    <w:rPr>
      <w:lang w:eastAsia="ko-KR"/>
    </w:rPr>
  </w:style>
  <w:style w:type="paragraph" w:customStyle="1" w:styleId="BulletItem">
    <w:name w:val="Bullet Item"/>
    <w:basedOn w:val="Item"/>
    <w:rsid w:val="00C87783"/>
    <w:pPr>
      <w:ind w:left="584"/>
    </w:pPr>
  </w:style>
  <w:style w:type="paragraph" w:customStyle="1" w:styleId="Nabrajanjebrojevi">
    <w:name w:val="Nabrajanje brojevi"/>
    <w:basedOn w:val="Item"/>
    <w:rsid w:val="00AF1B9C"/>
    <w:pPr>
      <w:numPr>
        <w:numId w:val="4"/>
      </w:numPr>
      <w:tabs>
        <w:tab w:val="clear" w:pos="227"/>
      </w:tabs>
    </w:pPr>
  </w:style>
  <w:style w:type="paragraph" w:customStyle="1" w:styleId="Autor">
    <w:name w:val="Autor"/>
    <w:basedOn w:val="Normalno"/>
    <w:rsid w:val="00B93931"/>
    <w:pPr>
      <w:spacing w:before="2640" w:after="1440"/>
      <w:jc w:val="center"/>
    </w:pPr>
    <w:rPr>
      <w:rFonts w:cs="Arial"/>
      <w:b/>
      <w:color w:val="000000"/>
      <w:sz w:val="20"/>
      <w:szCs w:val="20"/>
    </w:rPr>
  </w:style>
  <w:style w:type="paragraph" w:customStyle="1" w:styleId="KljucneReci">
    <w:name w:val="KljucneReci"/>
    <w:basedOn w:val="Normalno"/>
    <w:rsid w:val="000B6504"/>
    <w:pPr>
      <w:tabs>
        <w:tab w:val="left" w:pos="1701"/>
      </w:tabs>
      <w:ind w:left="4820" w:hanging="1701"/>
      <w:jc w:val="left"/>
    </w:pPr>
    <w:rPr>
      <w:rFonts w:cs="Arial"/>
      <w:caps/>
      <w:sz w:val="20"/>
      <w:szCs w:val="20"/>
    </w:rPr>
  </w:style>
  <w:style w:type="table" w:styleId="Koordinatnamreatabele">
    <w:name w:val="Table Grid"/>
    <w:basedOn w:val="Normalnatabela"/>
    <w:rsid w:val="0060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slova">
    <w:name w:val="nabrajanje slova"/>
    <w:basedOn w:val="Normalno"/>
    <w:rsid w:val="00032B36"/>
    <w:pPr>
      <w:numPr>
        <w:numId w:val="15"/>
      </w:numPr>
      <w:spacing w:after="60"/>
      <w:contextualSpacing/>
    </w:pPr>
  </w:style>
  <w:style w:type="paragraph" w:customStyle="1" w:styleId="Naslov10">
    <w:name w:val="Naslov1"/>
    <w:basedOn w:val="Normalno"/>
    <w:rsid w:val="005C1CA8"/>
    <w:pPr>
      <w:spacing w:before="240"/>
      <w:jc w:val="center"/>
    </w:pPr>
    <w:rPr>
      <w:rFonts w:eastAsia="Arial Unicode MS" w:cs="Arial"/>
      <w:b/>
      <w:caps/>
      <w:w w:val="90"/>
      <w:sz w:val="28"/>
      <w:szCs w:val="28"/>
    </w:rPr>
  </w:style>
  <w:style w:type="paragraph" w:customStyle="1" w:styleId="Literatura">
    <w:name w:val="Literatura"/>
    <w:basedOn w:val="Normalno"/>
    <w:rsid w:val="00DD3FF0"/>
    <w:pPr>
      <w:numPr>
        <w:numId w:val="3"/>
      </w:numPr>
      <w:spacing w:after="120"/>
    </w:pPr>
    <w:rPr>
      <w:rFonts w:cs="Arial"/>
      <w:sz w:val="18"/>
      <w:szCs w:val="18"/>
    </w:rPr>
  </w:style>
  <w:style w:type="paragraph" w:customStyle="1" w:styleId="naslovtabele">
    <w:name w:val="naslov tabele"/>
    <w:basedOn w:val="Normalno"/>
    <w:rsid w:val="00336A06"/>
    <w:pPr>
      <w:keepNext/>
      <w:keepLines/>
      <w:spacing w:before="240" w:after="120"/>
      <w:jc w:val="center"/>
    </w:pPr>
    <w:rPr>
      <w:sz w:val="20"/>
      <w:szCs w:val="20"/>
    </w:rPr>
  </w:style>
  <w:style w:type="paragraph" w:customStyle="1" w:styleId="Potpisslike">
    <w:name w:val="Potpis slike"/>
    <w:basedOn w:val="Normalno"/>
    <w:rsid w:val="00DD4EB8"/>
    <w:pPr>
      <w:spacing w:before="120" w:after="360"/>
      <w:jc w:val="center"/>
    </w:pPr>
    <w:rPr>
      <w:sz w:val="20"/>
      <w:szCs w:val="20"/>
      <w:lang w:eastAsia="sr-Latn-CS"/>
    </w:rPr>
  </w:style>
  <w:style w:type="paragraph" w:customStyle="1" w:styleId="Slika">
    <w:name w:val="Slika"/>
    <w:basedOn w:val="Normalno"/>
    <w:rsid w:val="005A7BCF"/>
    <w:pPr>
      <w:keepNext/>
      <w:spacing w:after="0"/>
      <w:jc w:val="center"/>
    </w:pPr>
    <w:rPr>
      <w:rFonts w:cs="Arial"/>
    </w:rPr>
  </w:style>
  <w:style w:type="character" w:styleId="Brojstranice">
    <w:name w:val="page number"/>
    <w:rsid w:val="0002502F"/>
    <w:rPr>
      <w:rFonts w:ascii="Century Gothic" w:hAnsi="Century Gothic"/>
      <w:b/>
      <w:sz w:val="24"/>
      <w:szCs w:val="24"/>
    </w:rPr>
  </w:style>
  <w:style w:type="paragraph" w:styleId="Podnoje">
    <w:name w:val="footer"/>
    <w:basedOn w:val="Normalno"/>
    <w:rsid w:val="005C1CA8"/>
    <w:pPr>
      <w:spacing w:after="0"/>
      <w:jc w:val="center"/>
    </w:pPr>
    <w:rPr>
      <w:rFonts w:ascii="Century Gothic" w:hAnsi="Century Gothic"/>
      <w:sz w:val="18"/>
      <w:szCs w:val="18"/>
    </w:rPr>
  </w:style>
  <w:style w:type="paragraph" w:customStyle="1" w:styleId="Podaci">
    <w:name w:val="Podaci"/>
    <w:basedOn w:val="Normalno"/>
    <w:rsid w:val="00DD4EB8"/>
    <w:pPr>
      <w:spacing w:after="0"/>
      <w:jc w:val="left"/>
    </w:pPr>
    <w:rPr>
      <w:sz w:val="18"/>
      <w:szCs w:val="18"/>
    </w:rPr>
  </w:style>
  <w:style w:type="paragraph" w:customStyle="1" w:styleId="Formule">
    <w:name w:val="Formule"/>
    <w:basedOn w:val="Normalno"/>
    <w:rsid w:val="00FA2382"/>
    <w:pPr>
      <w:tabs>
        <w:tab w:val="left" w:pos="7938"/>
      </w:tabs>
      <w:ind w:left="1418"/>
      <w:jc w:val="left"/>
    </w:pPr>
    <w:rPr>
      <w:rFonts w:cs="Arial"/>
    </w:rPr>
  </w:style>
  <w:style w:type="paragraph" w:customStyle="1" w:styleId="Institucija">
    <w:name w:val="Institucija"/>
    <w:basedOn w:val="Normalno"/>
    <w:rsid w:val="00DE6D98"/>
    <w:pPr>
      <w:tabs>
        <w:tab w:val="left" w:pos="227"/>
      </w:tabs>
      <w:spacing w:after="0"/>
      <w:ind w:left="227" w:hanging="227"/>
    </w:pPr>
    <w:rPr>
      <w:sz w:val="16"/>
      <w:szCs w:val="16"/>
    </w:rPr>
  </w:style>
  <w:style w:type="character" w:customStyle="1" w:styleId="Naslov1Znak">
    <w:name w:val="Naslov 1 Znak"/>
    <w:link w:val="Naslov1"/>
    <w:rsid w:val="0099162B"/>
    <w:rPr>
      <w:rFonts w:ascii="Arial" w:hAnsi="Arial" w:cs="Arial"/>
      <w:b/>
      <w:bCs/>
      <w:caps/>
      <w:sz w:val="24"/>
      <w:szCs w:val="24"/>
      <w:lang w:val="sr-Latn-CS"/>
    </w:rPr>
  </w:style>
  <w:style w:type="character" w:customStyle="1" w:styleId="FontStyle31">
    <w:name w:val="Font Style31"/>
    <w:uiPriority w:val="99"/>
    <w:rsid w:val="0099162B"/>
    <w:rPr>
      <w:rFonts w:ascii="Times New Roman" w:hAnsi="Times New Roman" w:cs="Times New Roman" w:hint="default"/>
      <w:sz w:val="20"/>
      <w:szCs w:val="20"/>
    </w:rPr>
  </w:style>
  <w:style w:type="character" w:customStyle="1" w:styleId="fontstyle01">
    <w:name w:val="fontstyle01"/>
    <w:rsid w:val="0099162B"/>
    <w:rPr>
      <w:rFonts w:ascii="81qbholgdpfugch" w:hAnsi="81qbholgdpfugch" w:hint="default"/>
      <w:b w:val="0"/>
      <w:bCs w:val="0"/>
      <w:i w:val="0"/>
      <w:iCs w:val="0"/>
      <w:color w:val="000000"/>
      <w:sz w:val="18"/>
      <w:szCs w:val="18"/>
    </w:rPr>
  </w:style>
  <w:style w:type="character" w:customStyle="1" w:styleId="FontStyle30">
    <w:name w:val="Font Style30"/>
    <w:uiPriority w:val="99"/>
    <w:rsid w:val="0099162B"/>
    <w:rPr>
      <w:rFonts w:ascii="Times New Roman" w:hAnsi="Times New Roman" w:cs="Times New Roman" w:hint="default"/>
      <w:b/>
      <w:bCs/>
      <w:sz w:val="22"/>
      <w:szCs w:val="22"/>
    </w:rPr>
  </w:style>
  <w:style w:type="paragraph" w:styleId="Tekstubalonu">
    <w:name w:val="Balloon Text"/>
    <w:basedOn w:val="Normalno"/>
    <w:link w:val="TekstubalonuZnak"/>
    <w:rsid w:val="00B16624"/>
    <w:pPr>
      <w:spacing w:after="0"/>
    </w:pPr>
    <w:rPr>
      <w:rFonts w:ascii="Tahoma" w:hAnsi="Tahoma" w:cs="Tahoma"/>
      <w:sz w:val="16"/>
      <w:szCs w:val="16"/>
    </w:rPr>
  </w:style>
  <w:style w:type="character" w:customStyle="1" w:styleId="TekstubalonuZnak">
    <w:name w:val="Tekst u balonu Znak"/>
    <w:basedOn w:val="Zadanifontparagrafa"/>
    <w:link w:val="Tekstubalonu"/>
    <w:rsid w:val="00B16624"/>
    <w:rPr>
      <w:rFonts w:ascii="Tahoma" w:hAnsi="Tahoma" w:cs="Tahoma"/>
      <w:sz w:val="16"/>
      <w:szCs w:val="16"/>
      <w:lang w:val="sr-Latn-CS" w:eastAsia="en-US"/>
    </w:rPr>
  </w:style>
  <w:style w:type="paragraph" w:styleId="Paragrafspiska">
    <w:name w:val="List Paragraph"/>
    <w:basedOn w:val="Normalno"/>
    <w:uiPriority w:val="34"/>
    <w:qFormat/>
    <w:rsid w:val="007116F8"/>
    <w:pPr>
      <w:widowControl/>
      <w:spacing w:after="0"/>
      <w:ind w:left="720" w:firstLine="706"/>
      <w:contextualSpacing/>
    </w:pPr>
    <w:rPr>
      <w:rFonts w:asciiTheme="minorHAnsi" w:eastAsiaTheme="minorHAnsi" w:hAnsiTheme="minorHAnsi" w:cstheme="minorBidi"/>
      <w:lang w:val="en-US"/>
    </w:rPr>
  </w:style>
  <w:style w:type="character" w:customStyle="1" w:styleId="ZaglavljeZnak">
    <w:name w:val="Zaglavlje Znak"/>
    <w:basedOn w:val="Zadanifontparagrafa"/>
    <w:link w:val="Zaglavlje"/>
    <w:uiPriority w:val="99"/>
    <w:rsid w:val="007116F8"/>
    <w:rPr>
      <w:rFonts w:ascii="Century Gothic" w:hAnsi="Century Gothic"/>
      <w:sz w:val="18"/>
      <w:szCs w:val="18"/>
      <w:lang w:val="sr-Latn-CS" w:eastAsia="en-US"/>
    </w:rPr>
  </w:style>
  <w:style w:type="table" w:customStyle="1" w:styleId="TableGrid1">
    <w:name w:val="Table Grid1"/>
    <w:basedOn w:val="Normalnatabela"/>
    <w:next w:val="Koordinatnamreatabele"/>
    <w:uiPriority w:val="59"/>
    <w:rsid w:val="007116F8"/>
    <w:pPr>
      <w:ind w:firstLine="706"/>
      <w:jc w:val="both"/>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avanje">
    <w:name w:val="Emphasis"/>
    <w:basedOn w:val="Zadanifontparagrafa"/>
    <w:qFormat/>
    <w:rsid w:val="00FE26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33858">
      <w:bodyDiv w:val="1"/>
      <w:marLeft w:val="0"/>
      <w:marRight w:val="0"/>
      <w:marTop w:val="0"/>
      <w:marBottom w:val="0"/>
      <w:divBdr>
        <w:top w:val="none" w:sz="0" w:space="0" w:color="auto"/>
        <w:left w:val="none" w:sz="0" w:space="0" w:color="auto"/>
        <w:bottom w:val="none" w:sz="0" w:space="0" w:color="auto"/>
        <w:right w:val="none" w:sz="0" w:space="0" w:color="auto"/>
      </w:divBdr>
      <w:divsChild>
        <w:div w:id="282736404">
          <w:marLeft w:val="0"/>
          <w:marRight w:val="0"/>
          <w:marTop w:val="0"/>
          <w:marBottom w:val="0"/>
          <w:divBdr>
            <w:top w:val="none" w:sz="0" w:space="0" w:color="auto"/>
            <w:left w:val="none" w:sz="0" w:space="0" w:color="auto"/>
            <w:bottom w:val="none" w:sz="0" w:space="0" w:color="auto"/>
            <w:right w:val="none" w:sz="0" w:space="0" w:color="auto"/>
          </w:divBdr>
        </w:div>
        <w:div w:id="574778813">
          <w:marLeft w:val="0"/>
          <w:marRight w:val="0"/>
          <w:marTop w:val="0"/>
          <w:marBottom w:val="0"/>
          <w:divBdr>
            <w:top w:val="none" w:sz="0" w:space="0" w:color="auto"/>
            <w:left w:val="none" w:sz="0" w:space="0" w:color="auto"/>
            <w:bottom w:val="none" w:sz="0" w:space="0" w:color="auto"/>
            <w:right w:val="none" w:sz="0" w:space="0" w:color="auto"/>
          </w:divBdr>
        </w:div>
      </w:divsChild>
    </w:div>
    <w:div w:id="723256594">
      <w:bodyDiv w:val="1"/>
      <w:marLeft w:val="0"/>
      <w:marRight w:val="0"/>
      <w:marTop w:val="0"/>
      <w:marBottom w:val="0"/>
      <w:divBdr>
        <w:top w:val="none" w:sz="0" w:space="0" w:color="auto"/>
        <w:left w:val="none" w:sz="0" w:space="0" w:color="auto"/>
        <w:bottom w:val="none" w:sz="0" w:space="0" w:color="auto"/>
        <w:right w:val="none" w:sz="0" w:space="0" w:color="auto"/>
      </w:divBdr>
      <w:divsChild>
        <w:div w:id="1632973652">
          <w:marLeft w:val="0"/>
          <w:marRight w:val="0"/>
          <w:marTop w:val="0"/>
          <w:marBottom w:val="0"/>
          <w:divBdr>
            <w:top w:val="none" w:sz="0" w:space="0" w:color="auto"/>
            <w:left w:val="none" w:sz="0" w:space="0" w:color="auto"/>
            <w:bottom w:val="none" w:sz="0" w:space="0" w:color="auto"/>
            <w:right w:val="none" w:sz="0" w:space="0" w:color="auto"/>
          </w:divBdr>
          <w:divsChild>
            <w:div w:id="1867985062">
              <w:marLeft w:val="0"/>
              <w:marRight w:val="0"/>
              <w:marTop w:val="0"/>
              <w:marBottom w:val="0"/>
              <w:divBdr>
                <w:top w:val="none" w:sz="0" w:space="0" w:color="auto"/>
                <w:left w:val="none" w:sz="0" w:space="0" w:color="auto"/>
                <w:bottom w:val="none" w:sz="0" w:space="0" w:color="auto"/>
                <w:right w:val="none" w:sz="0" w:space="0" w:color="auto"/>
              </w:divBdr>
              <w:divsChild>
                <w:div w:id="1371422023">
                  <w:marLeft w:val="0"/>
                  <w:marRight w:val="0"/>
                  <w:marTop w:val="0"/>
                  <w:marBottom w:val="0"/>
                  <w:divBdr>
                    <w:top w:val="none" w:sz="0" w:space="0" w:color="auto"/>
                    <w:left w:val="none" w:sz="0" w:space="0" w:color="auto"/>
                    <w:bottom w:val="none" w:sz="0" w:space="0" w:color="auto"/>
                    <w:right w:val="none" w:sz="0" w:space="0" w:color="auto"/>
                  </w:divBdr>
                  <w:divsChild>
                    <w:div w:id="1676683636">
                      <w:marLeft w:val="0"/>
                      <w:marRight w:val="0"/>
                      <w:marTop w:val="0"/>
                      <w:marBottom w:val="0"/>
                      <w:divBdr>
                        <w:top w:val="none" w:sz="0" w:space="0" w:color="auto"/>
                        <w:left w:val="none" w:sz="0" w:space="0" w:color="auto"/>
                        <w:bottom w:val="none" w:sz="0" w:space="0" w:color="auto"/>
                        <w:right w:val="none" w:sz="0" w:space="0" w:color="auto"/>
                      </w:divBdr>
                      <w:divsChild>
                        <w:div w:id="454057313">
                          <w:marLeft w:val="0"/>
                          <w:marRight w:val="0"/>
                          <w:marTop w:val="0"/>
                          <w:marBottom w:val="0"/>
                          <w:divBdr>
                            <w:top w:val="none" w:sz="0" w:space="0" w:color="auto"/>
                            <w:left w:val="none" w:sz="0" w:space="0" w:color="auto"/>
                            <w:bottom w:val="none" w:sz="0" w:space="0" w:color="auto"/>
                            <w:right w:val="none" w:sz="0" w:space="0" w:color="auto"/>
                          </w:divBdr>
                          <w:divsChild>
                            <w:div w:id="796795580">
                              <w:marLeft w:val="0"/>
                              <w:marRight w:val="0"/>
                              <w:marTop w:val="240"/>
                              <w:marBottom w:val="0"/>
                              <w:divBdr>
                                <w:top w:val="none" w:sz="0" w:space="0" w:color="auto"/>
                                <w:left w:val="none" w:sz="0" w:space="0" w:color="auto"/>
                                <w:bottom w:val="none" w:sz="0" w:space="0" w:color="auto"/>
                                <w:right w:val="none" w:sz="0" w:space="0" w:color="auto"/>
                              </w:divBdr>
                              <w:divsChild>
                                <w:div w:id="454179892">
                                  <w:marLeft w:val="0"/>
                                  <w:marRight w:val="240"/>
                                  <w:marTop w:val="0"/>
                                  <w:marBottom w:val="0"/>
                                  <w:divBdr>
                                    <w:top w:val="none" w:sz="0" w:space="0" w:color="auto"/>
                                    <w:left w:val="none" w:sz="0" w:space="0" w:color="auto"/>
                                    <w:bottom w:val="none" w:sz="0" w:space="0" w:color="auto"/>
                                    <w:right w:val="none" w:sz="0" w:space="0" w:color="auto"/>
                                  </w:divBdr>
                                </w:div>
                                <w:div w:id="1418593164">
                                  <w:marLeft w:val="0"/>
                                  <w:marRight w:val="240"/>
                                  <w:marTop w:val="0"/>
                                  <w:marBottom w:val="0"/>
                                  <w:divBdr>
                                    <w:top w:val="none" w:sz="0" w:space="0" w:color="auto"/>
                                    <w:left w:val="none" w:sz="0" w:space="0" w:color="auto"/>
                                    <w:bottom w:val="none" w:sz="0" w:space="0" w:color="auto"/>
                                    <w:right w:val="none" w:sz="0" w:space="0" w:color="auto"/>
                                  </w:divBdr>
                                </w:div>
                              </w:divsChild>
                            </w:div>
                            <w:div w:id="1367363919">
                              <w:marLeft w:val="0"/>
                              <w:marRight w:val="0"/>
                              <w:marTop w:val="0"/>
                              <w:marBottom w:val="0"/>
                              <w:divBdr>
                                <w:top w:val="none" w:sz="0" w:space="0" w:color="auto"/>
                                <w:left w:val="none" w:sz="0" w:space="0" w:color="auto"/>
                                <w:bottom w:val="none" w:sz="0" w:space="0" w:color="auto"/>
                                <w:right w:val="none" w:sz="0" w:space="0" w:color="auto"/>
                              </w:divBdr>
                              <w:divsChild>
                                <w:div w:id="1626348007">
                                  <w:marLeft w:val="0"/>
                                  <w:marRight w:val="0"/>
                                  <w:marTop w:val="0"/>
                                  <w:marBottom w:val="0"/>
                                  <w:divBdr>
                                    <w:top w:val="none" w:sz="0" w:space="0" w:color="auto"/>
                                    <w:left w:val="none" w:sz="0" w:space="0" w:color="auto"/>
                                    <w:bottom w:val="none" w:sz="0" w:space="0" w:color="auto"/>
                                    <w:right w:val="none" w:sz="0" w:space="0" w:color="auto"/>
                                  </w:divBdr>
                                  <w:divsChild>
                                    <w:div w:id="16833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L:\%20%20%20%20%20%20XVIII%20Simpoz\Admin\XVII%20Simpozijum%20-%20latinic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XVII Simpozijum - latinica</Template>
  <TotalTime>1</TotalTime>
  <Pages>13</Pages>
  <Words>4565</Words>
  <Characters>26884</Characters>
  <Application>Microsoft Office Word</Application>
  <DocSecurity>0</DocSecurity>
  <Lines>224</Lines>
  <Paragraphs>62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Име Презиме ; Име Презиме ; Име Презиме</vt:lpstr>
      <vt:lpstr>UVOD</vt:lpstr>
    </vt:vector>
  </TitlesOfParts>
  <Company>saobracajni fakultet</Company>
  <LinksUpToDate>false</LinksUpToDate>
  <CharactersWithSpaces>31387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 Презиме ; Име Презиме ; Име Презиме</dc:title>
  <dc:subject/>
  <dc:creator>Milan Vujanic;drstanisic</dc:creator>
  <cp:keywords>jahorina 2022</cp:keywords>
  <dc:description/>
  <cp:lastModifiedBy>Advokat</cp:lastModifiedBy>
  <cp:revision>2</cp:revision>
  <cp:lastPrinted>2022-09-27T08:20:00Z</cp:lastPrinted>
  <dcterms:created xsi:type="dcterms:W3CDTF">2025-11-03T15:03:00Z</dcterms:created>
  <dcterms:modified xsi:type="dcterms:W3CDTF">2025-11-03T15:03:00Z</dcterms:modified>
</cp:coreProperties>
</file>